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2B65" w14:textId="77777777" w:rsidR="00B41FD5" w:rsidRPr="00B41FD5" w:rsidRDefault="00B41FD5" w:rsidP="00B41FD5">
      <w:pPr>
        <w:spacing w:after="160" w:line="240" w:lineRule="auto"/>
        <w:jc w:val="center"/>
        <w:rPr>
          <w:rFonts w:cstheme="minorHAnsi"/>
          <w:b/>
          <w:sz w:val="20"/>
          <w:szCs w:val="20"/>
        </w:rPr>
      </w:pPr>
      <w:r w:rsidRPr="00B41FD5">
        <w:rPr>
          <w:rFonts w:cstheme="minorHAnsi"/>
          <w:bCs/>
          <w:sz w:val="20"/>
          <w:szCs w:val="20"/>
        </w:rPr>
        <w:t>Rabiu Nuhu Danraka</w:t>
      </w:r>
      <w:r w:rsidRPr="00B41FD5">
        <w:rPr>
          <w:rFonts w:cstheme="minorHAnsi"/>
          <w:bCs/>
          <w:sz w:val="20"/>
          <w:szCs w:val="20"/>
          <w:vertAlign w:val="superscript"/>
        </w:rPr>
        <w:t>*1</w:t>
      </w:r>
      <w:r w:rsidRPr="00B41FD5">
        <w:rPr>
          <w:rFonts w:cstheme="minorHAnsi"/>
          <w:bCs/>
          <w:sz w:val="20"/>
          <w:szCs w:val="20"/>
        </w:rPr>
        <w:t>, Idris Mohammed Maje</w:t>
      </w:r>
      <w:r w:rsidRPr="00B41FD5">
        <w:rPr>
          <w:rFonts w:cstheme="minorHAnsi"/>
          <w:bCs/>
          <w:sz w:val="20"/>
          <w:szCs w:val="20"/>
          <w:vertAlign w:val="superscript"/>
        </w:rPr>
        <w:t>1</w:t>
      </w:r>
      <w:r w:rsidRPr="00B41FD5">
        <w:rPr>
          <w:rFonts w:cstheme="minorHAnsi"/>
          <w:bCs/>
          <w:sz w:val="20"/>
          <w:szCs w:val="20"/>
        </w:rPr>
        <w:t>, Ferhat Khan</w:t>
      </w:r>
      <w:r w:rsidRPr="00B41FD5">
        <w:rPr>
          <w:rFonts w:cstheme="minorHAnsi"/>
          <w:bCs/>
          <w:sz w:val="20"/>
          <w:szCs w:val="20"/>
          <w:vertAlign w:val="superscript"/>
        </w:rPr>
        <w:t>1</w:t>
      </w:r>
      <w:r w:rsidRPr="00B41FD5">
        <w:rPr>
          <w:rFonts w:cstheme="minorHAnsi"/>
          <w:bCs/>
          <w:sz w:val="20"/>
          <w:szCs w:val="20"/>
        </w:rPr>
        <w:t xml:space="preserve"> Abdulazeez Jimoh </w:t>
      </w:r>
      <w:r w:rsidRPr="00B41FD5">
        <w:rPr>
          <w:rFonts w:cstheme="minorHAnsi"/>
          <w:bCs/>
          <w:sz w:val="20"/>
          <w:szCs w:val="20"/>
          <w:vertAlign w:val="superscript"/>
        </w:rPr>
        <w:t>1,2</w:t>
      </w:r>
    </w:p>
    <w:p w14:paraId="1DB4AA85" w14:textId="77777777" w:rsidR="00B41FD5" w:rsidRPr="00B41FD5" w:rsidRDefault="00B41FD5" w:rsidP="00B41FD5">
      <w:pPr>
        <w:spacing w:after="160" w:line="240" w:lineRule="auto"/>
        <w:jc w:val="center"/>
        <w:rPr>
          <w:rFonts w:cstheme="minorHAnsi"/>
          <w:sz w:val="20"/>
          <w:szCs w:val="20"/>
        </w:rPr>
      </w:pPr>
      <w:r w:rsidRPr="00B41FD5">
        <w:rPr>
          <w:rFonts w:cstheme="minorHAnsi"/>
          <w:bCs/>
          <w:sz w:val="20"/>
          <w:szCs w:val="20"/>
          <w:vertAlign w:val="superscript"/>
        </w:rPr>
        <w:t xml:space="preserve">1 </w:t>
      </w:r>
      <w:r w:rsidRPr="00B41FD5">
        <w:rPr>
          <w:rFonts w:cstheme="minorHAnsi"/>
          <w:sz w:val="20"/>
          <w:szCs w:val="20"/>
        </w:rPr>
        <w:t>Department of Pharmacology and Therapeutics, Ahmadu Bello University, Zaria, Nigeria.</w:t>
      </w:r>
    </w:p>
    <w:p w14:paraId="7621735A" w14:textId="78FFB2FE" w:rsidR="00B41FD5" w:rsidRPr="00622A07" w:rsidRDefault="00B41FD5" w:rsidP="00622A07">
      <w:pPr>
        <w:spacing w:after="160" w:line="240" w:lineRule="auto"/>
        <w:jc w:val="center"/>
        <w:rPr>
          <w:rFonts w:cstheme="minorHAnsi"/>
          <w:b/>
          <w:sz w:val="20"/>
          <w:szCs w:val="20"/>
        </w:rPr>
      </w:pPr>
      <w:r w:rsidRPr="00B41FD5">
        <w:rPr>
          <w:rFonts w:cstheme="minorHAnsi"/>
          <w:bCs/>
          <w:sz w:val="20"/>
          <w:szCs w:val="20"/>
          <w:vertAlign w:val="superscript"/>
        </w:rPr>
        <w:t xml:space="preserve">2 </w:t>
      </w:r>
      <w:r w:rsidRPr="00B41FD5">
        <w:rPr>
          <w:rFonts w:cstheme="minorHAnsi"/>
          <w:sz w:val="20"/>
          <w:szCs w:val="20"/>
        </w:rPr>
        <w:t>Department of Human Physiology, Ahmadu Bello University, Zaria, Nigeria.</w:t>
      </w:r>
    </w:p>
    <w:p w14:paraId="335B6DAB" w14:textId="150034B2" w:rsidR="0019218D" w:rsidRPr="00622A07" w:rsidRDefault="00065D8B" w:rsidP="00622A07">
      <w:pPr>
        <w:pStyle w:val="Subtitle"/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065D8B">
        <w:rPr>
          <w:rFonts w:cstheme="minorHAnsi"/>
          <w:b/>
          <w:bCs/>
          <w:sz w:val="20"/>
          <w:szCs w:val="20"/>
        </w:rPr>
        <w:t xml:space="preserve">Effect </w:t>
      </w:r>
      <w:r w:rsidR="00300B0D" w:rsidRPr="00065D8B">
        <w:rPr>
          <w:rFonts w:cstheme="minorHAnsi"/>
          <w:b/>
          <w:bCs/>
          <w:sz w:val="20"/>
          <w:szCs w:val="20"/>
        </w:rPr>
        <w:t>of ethanol</w:t>
      </w:r>
      <w:r w:rsidRPr="00065D8B">
        <w:rPr>
          <w:rFonts w:cstheme="minorHAnsi"/>
          <w:b/>
          <w:bCs/>
          <w:sz w:val="20"/>
          <w:szCs w:val="20"/>
        </w:rPr>
        <w:t xml:space="preserve"> extract of </w:t>
      </w:r>
      <w:r w:rsidRPr="00065D8B">
        <w:rPr>
          <w:rFonts w:cstheme="minorHAnsi"/>
          <w:b/>
          <w:bCs/>
          <w:i/>
          <w:iCs/>
          <w:sz w:val="20"/>
          <w:szCs w:val="20"/>
        </w:rPr>
        <w:t>Hymenodictyon floribundum</w:t>
      </w:r>
      <w:r w:rsidRPr="00065D8B">
        <w:rPr>
          <w:rFonts w:cstheme="minorHAnsi"/>
          <w:b/>
          <w:bCs/>
          <w:sz w:val="20"/>
          <w:szCs w:val="20"/>
        </w:rPr>
        <w:t xml:space="preserve"> on biochemical parameters in rats</w:t>
      </w:r>
    </w:p>
    <w:p w14:paraId="6D0D33B4" w14:textId="280130F2" w:rsidR="006E345C" w:rsidRPr="00347736" w:rsidRDefault="006E345C" w:rsidP="0034773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47736">
        <w:rPr>
          <w:rFonts w:cstheme="minorHAnsi"/>
          <w:sz w:val="20"/>
          <w:szCs w:val="20"/>
        </w:rPr>
        <w:t xml:space="preserve">Introduction: </w:t>
      </w:r>
      <w:r w:rsidR="00126D88" w:rsidRPr="00347736">
        <w:rPr>
          <w:rFonts w:cstheme="minorHAnsi"/>
          <w:sz w:val="20"/>
          <w:szCs w:val="20"/>
        </w:rPr>
        <w:t>Plants are frequently employed for a variety of purposes without their possible negative effects being carefully considered. According to reports, Hymenodictyon floribundum has been used to cure several illnesses, including diabetes.</w:t>
      </w:r>
    </w:p>
    <w:p w14:paraId="59183124" w14:textId="2104300F" w:rsidR="006E345C" w:rsidRPr="00347736" w:rsidRDefault="006E345C" w:rsidP="0034773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47736">
        <w:rPr>
          <w:rFonts w:cstheme="minorHAnsi"/>
          <w:sz w:val="20"/>
          <w:szCs w:val="20"/>
        </w:rPr>
        <w:t xml:space="preserve">Aim: </w:t>
      </w:r>
      <w:r w:rsidR="0019218D" w:rsidRPr="00347736">
        <w:rPr>
          <w:rFonts w:cstheme="minorHAnsi"/>
          <w:sz w:val="20"/>
          <w:szCs w:val="20"/>
        </w:rPr>
        <w:t xml:space="preserve">The study aimed at investigating the toxicity profile of ethanol leaf extract of </w:t>
      </w:r>
      <w:r w:rsidR="0019218D" w:rsidRPr="00347736">
        <w:rPr>
          <w:rFonts w:cstheme="minorHAnsi"/>
          <w:i/>
          <w:sz w:val="20"/>
          <w:szCs w:val="20"/>
        </w:rPr>
        <w:t>Hymenodictyon floribundum</w:t>
      </w:r>
      <w:r w:rsidR="0019218D" w:rsidRPr="00347736">
        <w:rPr>
          <w:rFonts w:cstheme="minorHAnsi"/>
          <w:sz w:val="20"/>
          <w:szCs w:val="20"/>
        </w:rPr>
        <w:t xml:space="preserve"> (ELEHF) in Wistar rats. </w:t>
      </w:r>
    </w:p>
    <w:p w14:paraId="7C2E0819" w14:textId="42FD78F1" w:rsidR="006E345C" w:rsidRPr="00347736" w:rsidRDefault="006E345C" w:rsidP="0034773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47736">
        <w:rPr>
          <w:rFonts w:cstheme="minorHAnsi"/>
          <w:sz w:val="20"/>
          <w:szCs w:val="20"/>
        </w:rPr>
        <w:t>Method</w:t>
      </w:r>
      <w:r w:rsidRPr="00347736">
        <w:rPr>
          <w:rFonts w:cstheme="minorHAnsi"/>
          <w:b/>
          <w:bCs/>
          <w:sz w:val="20"/>
          <w:szCs w:val="20"/>
        </w:rPr>
        <w:t>:</w:t>
      </w:r>
      <w:r w:rsidRPr="00347736">
        <w:rPr>
          <w:rFonts w:cstheme="minorHAnsi"/>
          <w:sz w:val="20"/>
          <w:szCs w:val="20"/>
        </w:rPr>
        <w:t xml:space="preserve"> </w:t>
      </w:r>
      <w:r w:rsidR="0019218D" w:rsidRPr="00347736">
        <w:rPr>
          <w:rFonts w:cstheme="minorHAnsi"/>
          <w:sz w:val="20"/>
          <w:szCs w:val="20"/>
        </w:rPr>
        <w:t>The oral median lethal dose (LD</w:t>
      </w:r>
      <w:r w:rsidR="0019218D" w:rsidRPr="00347736">
        <w:rPr>
          <w:rFonts w:cstheme="minorHAnsi"/>
          <w:sz w:val="20"/>
          <w:szCs w:val="20"/>
          <w:vertAlign w:val="subscript"/>
        </w:rPr>
        <w:t>50</w:t>
      </w:r>
      <w:r w:rsidR="0019218D" w:rsidRPr="00347736">
        <w:rPr>
          <w:rFonts w:cstheme="minorHAnsi"/>
          <w:sz w:val="20"/>
          <w:szCs w:val="20"/>
        </w:rPr>
        <w:t xml:space="preserve">) </w:t>
      </w:r>
      <w:r w:rsidR="00347736" w:rsidRPr="00347736">
        <w:rPr>
          <w:rFonts w:cstheme="minorHAnsi"/>
          <w:sz w:val="20"/>
          <w:szCs w:val="20"/>
        </w:rPr>
        <w:t>was</w:t>
      </w:r>
      <w:r w:rsidR="0019218D" w:rsidRPr="00347736">
        <w:rPr>
          <w:rFonts w:cstheme="minorHAnsi"/>
          <w:sz w:val="20"/>
          <w:szCs w:val="20"/>
        </w:rPr>
        <w:t xml:space="preserve"> determined using </w:t>
      </w:r>
      <w:r w:rsidR="00347736" w:rsidRPr="00347736">
        <w:rPr>
          <w:rFonts w:cstheme="minorHAnsi"/>
          <w:sz w:val="20"/>
          <w:szCs w:val="20"/>
        </w:rPr>
        <w:t xml:space="preserve">a </w:t>
      </w:r>
      <w:r w:rsidR="0019218D" w:rsidRPr="00347736">
        <w:rPr>
          <w:rFonts w:cstheme="minorHAnsi"/>
          <w:sz w:val="20"/>
          <w:szCs w:val="20"/>
        </w:rPr>
        <w:t>standard method.  Rats were grouped into four groups with seven</w:t>
      </w:r>
      <w:r w:rsidR="005E0670">
        <w:rPr>
          <w:rFonts w:cstheme="minorHAnsi"/>
          <w:sz w:val="20"/>
          <w:szCs w:val="20"/>
        </w:rPr>
        <w:t xml:space="preserve"> </w:t>
      </w:r>
      <w:r w:rsidR="0019218D" w:rsidRPr="00347736">
        <w:rPr>
          <w:rFonts w:cstheme="minorHAnsi"/>
          <w:sz w:val="20"/>
          <w:szCs w:val="20"/>
        </w:rPr>
        <w:t>each; all administrations were daily and through the oral route. Group I received 1 ml/kg of distilled water (DW) while groups II, III, and IV received 250, 500, and 1,000 mg/kg of ELEHF, respectively</w:t>
      </w:r>
      <w:r w:rsidRPr="00347736">
        <w:rPr>
          <w:rFonts w:cstheme="minorHAnsi"/>
          <w:sz w:val="20"/>
          <w:szCs w:val="20"/>
        </w:rPr>
        <w:t>, for</w:t>
      </w:r>
      <w:r w:rsidR="0019218D" w:rsidRPr="00347736">
        <w:rPr>
          <w:rFonts w:cstheme="minorHAnsi"/>
          <w:sz w:val="20"/>
          <w:szCs w:val="20"/>
        </w:rPr>
        <w:t xml:space="preserve"> 90 days. Rats were observed for</w:t>
      </w:r>
      <w:r w:rsidRPr="00347736">
        <w:rPr>
          <w:rFonts w:cstheme="minorHAnsi"/>
          <w:sz w:val="20"/>
          <w:szCs w:val="20"/>
        </w:rPr>
        <w:t xml:space="preserve"> symptoms</w:t>
      </w:r>
      <w:r w:rsidR="0019218D" w:rsidRPr="00347736">
        <w:rPr>
          <w:rFonts w:cstheme="minorHAnsi"/>
          <w:sz w:val="20"/>
          <w:szCs w:val="20"/>
        </w:rPr>
        <w:t xml:space="preserve"> of toxicity, and weekly body weights were recorded. On day</w:t>
      </w:r>
      <w:r w:rsidRPr="00347736">
        <w:rPr>
          <w:rFonts w:cstheme="minorHAnsi"/>
          <w:sz w:val="20"/>
          <w:szCs w:val="20"/>
        </w:rPr>
        <w:t xml:space="preserve"> </w:t>
      </w:r>
      <w:r w:rsidR="0019218D" w:rsidRPr="00347736">
        <w:rPr>
          <w:rFonts w:cstheme="minorHAnsi"/>
          <w:sz w:val="20"/>
          <w:szCs w:val="20"/>
        </w:rPr>
        <w:t>91,</w:t>
      </w:r>
      <w:r w:rsidR="00126D88" w:rsidRPr="00347736">
        <w:rPr>
          <w:rFonts w:cstheme="minorHAnsi"/>
          <w:sz w:val="20"/>
          <w:szCs w:val="20"/>
        </w:rPr>
        <w:t xml:space="preserve"> </w:t>
      </w:r>
      <w:r w:rsidR="0019218D" w:rsidRPr="00347736">
        <w:rPr>
          <w:rFonts w:cstheme="minorHAnsi"/>
          <w:sz w:val="20"/>
          <w:szCs w:val="20"/>
        </w:rPr>
        <w:t xml:space="preserve">rats were euthanized using </w:t>
      </w:r>
      <w:r w:rsidRPr="00347736">
        <w:rPr>
          <w:rFonts w:cstheme="minorHAnsi"/>
          <w:sz w:val="20"/>
          <w:szCs w:val="20"/>
        </w:rPr>
        <w:t>diethyl ether</w:t>
      </w:r>
      <w:r w:rsidR="0019218D" w:rsidRPr="00347736">
        <w:rPr>
          <w:rFonts w:cstheme="minorHAnsi"/>
          <w:sz w:val="20"/>
          <w:szCs w:val="20"/>
        </w:rPr>
        <w:t xml:space="preserve">, </w:t>
      </w:r>
      <w:r w:rsidR="00126D88" w:rsidRPr="00347736">
        <w:rPr>
          <w:rFonts w:cstheme="minorHAnsi"/>
          <w:sz w:val="20"/>
          <w:szCs w:val="20"/>
        </w:rPr>
        <w:t xml:space="preserve">and </w:t>
      </w:r>
      <w:r w:rsidR="0019218D" w:rsidRPr="00347736">
        <w:rPr>
          <w:rFonts w:cstheme="minorHAnsi"/>
          <w:sz w:val="20"/>
          <w:szCs w:val="20"/>
        </w:rPr>
        <w:t xml:space="preserve">blood samples were collected for biochemical </w:t>
      </w:r>
      <w:r w:rsidR="00126D88" w:rsidRPr="00347736">
        <w:rPr>
          <w:rFonts w:cstheme="minorHAnsi"/>
          <w:sz w:val="20"/>
          <w:szCs w:val="20"/>
        </w:rPr>
        <w:t>Parameters</w:t>
      </w:r>
      <w:r w:rsidR="00347736">
        <w:rPr>
          <w:rFonts w:cstheme="minorHAnsi"/>
          <w:sz w:val="20"/>
          <w:szCs w:val="20"/>
        </w:rPr>
        <w:t>.</w:t>
      </w:r>
    </w:p>
    <w:p w14:paraId="31BEFEDB" w14:textId="5BF17567" w:rsidR="00622A07" w:rsidRPr="00347736" w:rsidRDefault="006E345C" w:rsidP="00347736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47736">
        <w:rPr>
          <w:rFonts w:cstheme="minorHAnsi"/>
          <w:sz w:val="20"/>
          <w:szCs w:val="20"/>
        </w:rPr>
        <w:t>Result</w:t>
      </w:r>
      <w:r w:rsidR="00F9374B" w:rsidRPr="00347736">
        <w:rPr>
          <w:rFonts w:cstheme="minorHAnsi"/>
          <w:sz w:val="20"/>
          <w:szCs w:val="20"/>
        </w:rPr>
        <w:t xml:space="preserve"> and Discussion</w:t>
      </w:r>
      <w:r w:rsidRPr="00347736">
        <w:rPr>
          <w:rFonts w:cstheme="minorHAnsi"/>
          <w:sz w:val="20"/>
          <w:szCs w:val="20"/>
        </w:rPr>
        <w:t xml:space="preserve">: </w:t>
      </w:r>
      <w:r w:rsidR="0019218D" w:rsidRPr="00347736">
        <w:rPr>
          <w:rFonts w:cstheme="minorHAnsi"/>
          <w:sz w:val="20"/>
          <w:szCs w:val="20"/>
        </w:rPr>
        <w:t>The LD</w:t>
      </w:r>
      <w:r w:rsidR="0019218D" w:rsidRPr="00347736">
        <w:rPr>
          <w:rFonts w:cstheme="minorHAnsi"/>
          <w:sz w:val="20"/>
          <w:szCs w:val="20"/>
          <w:vertAlign w:val="subscript"/>
        </w:rPr>
        <w:t>50</w:t>
      </w:r>
      <w:r w:rsidR="0019218D" w:rsidRPr="00347736">
        <w:rPr>
          <w:rFonts w:cstheme="minorHAnsi"/>
          <w:sz w:val="20"/>
          <w:szCs w:val="20"/>
        </w:rPr>
        <w:t xml:space="preserve"> of </w:t>
      </w:r>
      <w:r w:rsidR="00C41C3B" w:rsidRPr="00347736">
        <w:rPr>
          <w:rFonts w:cstheme="minorHAnsi"/>
          <w:i/>
          <w:iCs/>
          <w:sz w:val="20"/>
          <w:szCs w:val="20"/>
        </w:rPr>
        <w:t>Hymenodictyon floribundum</w:t>
      </w:r>
      <w:r w:rsidR="0019218D" w:rsidRPr="00347736">
        <w:rPr>
          <w:rFonts w:cstheme="minorHAnsi"/>
          <w:sz w:val="20"/>
          <w:szCs w:val="20"/>
        </w:rPr>
        <w:t xml:space="preserve"> was estimated to be greater than 5,000 mg/kg. In the </w:t>
      </w:r>
      <w:r w:rsidR="00C41C3B" w:rsidRPr="00347736">
        <w:rPr>
          <w:rFonts w:cstheme="minorHAnsi"/>
          <w:sz w:val="20"/>
          <w:szCs w:val="20"/>
        </w:rPr>
        <w:t>13-week</w:t>
      </w:r>
      <w:r w:rsidR="0019218D" w:rsidRPr="00347736">
        <w:rPr>
          <w:rFonts w:cstheme="minorHAnsi"/>
          <w:sz w:val="20"/>
          <w:szCs w:val="20"/>
        </w:rPr>
        <w:t xml:space="preserve"> study, there was </w:t>
      </w:r>
      <w:r w:rsidR="00126D88" w:rsidRPr="00347736">
        <w:rPr>
          <w:rFonts w:cstheme="minorHAnsi"/>
          <w:sz w:val="20"/>
          <w:szCs w:val="20"/>
        </w:rPr>
        <w:t xml:space="preserve">a </w:t>
      </w:r>
      <w:r w:rsidR="0019218D" w:rsidRPr="00347736">
        <w:rPr>
          <w:rFonts w:cstheme="minorHAnsi"/>
          <w:sz w:val="20"/>
          <w:szCs w:val="20"/>
        </w:rPr>
        <w:t>significant</w:t>
      </w:r>
      <w:r w:rsidR="00622A07" w:rsidRPr="00347736">
        <w:rPr>
          <w:rFonts w:cstheme="minorHAnsi"/>
          <w:sz w:val="20"/>
          <w:szCs w:val="20"/>
        </w:rPr>
        <w:t xml:space="preserve"> increase</w:t>
      </w:r>
      <w:r w:rsidR="0019218D" w:rsidRPr="00347736">
        <w:rPr>
          <w:rFonts w:cstheme="minorHAnsi"/>
          <w:sz w:val="20"/>
          <w:szCs w:val="20"/>
        </w:rPr>
        <w:t xml:space="preserve"> (</w:t>
      </w:r>
      <w:r w:rsidR="0019218D" w:rsidRPr="00347736">
        <w:rPr>
          <w:rFonts w:cstheme="minorHAnsi"/>
          <w:i/>
          <w:sz w:val="20"/>
          <w:szCs w:val="20"/>
        </w:rPr>
        <w:t xml:space="preserve">p </w:t>
      </w:r>
      <w:r w:rsidR="0019218D" w:rsidRPr="00347736">
        <w:rPr>
          <w:rFonts w:cstheme="minorHAnsi"/>
          <w:sz w:val="20"/>
          <w:szCs w:val="20"/>
        </w:rPr>
        <w:t xml:space="preserve">&gt; 0.05) in body weight </w:t>
      </w:r>
      <w:r w:rsidR="00622A07" w:rsidRPr="00347736">
        <w:rPr>
          <w:rFonts w:cstheme="minorHAnsi"/>
          <w:sz w:val="20"/>
          <w:szCs w:val="20"/>
        </w:rPr>
        <w:t xml:space="preserve">in </w:t>
      </w:r>
      <w:r w:rsidR="00126D88" w:rsidRPr="00347736">
        <w:rPr>
          <w:rFonts w:cstheme="minorHAnsi"/>
          <w:sz w:val="20"/>
          <w:szCs w:val="20"/>
        </w:rPr>
        <w:t>weeks</w:t>
      </w:r>
      <w:r w:rsidR="00622A07" w:rsidRPr="00347736">
        <w:rPr>
          <w:rFonts w:cstheme="minorHAnsi"/>
          <w:sz w:val="20"/>
          <w:szCs w:val="20"/>
        </w:rPr>
        <w:t xml:space="preserve"> 1,4,8</w:t>
      </w:r>
      <w:r w:rsidR="00126D88" w:rsidRPr="00347736">
        <w:rPr>
          <w:rFonts w:cstheme="minorHAnsi"/>
          <w:sz w:val="20"/>
          <w:szCs w:val="20"/>
        </w:rPr>
        <w:t>,</w:t>
      </w:r>
      <w:r w:rsidR="00622A07" w:rsidRPr="00347736">
        <w:rPr>
          <w:rFonts w:cstheme="minorHAnsi"/>
          <w:sz w:val="20"/>
          <w:szCs w:val="20"/>
        </w:rPr>
        <w:t xml:space="preserve"> and 13 across all dose ranges.</w:t>
      </w:r>
      <w:r w:rsidR="00692ABF">
        <w:rPr>
          <w:rFonts w:cstheme="minorHAnsi"/>
          <w:sz w:val="20"/>
          <w:szCs w:val="20"/>
        </w:rPr>
        <w:t xml:space="preserve"> </w:t>
      </w:r>
      <w:r w:rsidR="00692ABF" w:rsidRPr="00692ABF">
        <w:rPr>
          <w:rFonts w:cstheme="minorHAnsi"/>
          <w:sz w:val="20"/>
          <w:szCs w:val="20"/>
        </w:rPr>
        <w:t>The lipid profile for albumin at 100</w:t>
      </w:r>
      <w:r w:rsidR="00692ABF">
        <w:rPr>
          <w:rFonts w:cstheme="minorHAnsi"/>
          <w:sz w:val="20"/>
          <w:szCs w:val="20"/>
        </w:rPr>
        <w:t>0</w:t>
      </w:r>
      <w:r w:rsidR="00692ABF" w:rsidRPr="00692ABF">
        <w:rPr>
          <w:rFonts w:cstheme="minorHAnsi"/>
          <w:sz w:val="20"/>
          <w:szCs w:val="20"/>
        </w:rPr>
        <w:t xml:space="preserve"> mg/kg and the liver at 250 mg/kg and 500 mg/kg showed a </w:t>
      </w:r>
      <w:r w:rsidR="00692ABF">
        <w:rPr>
          <w:rFonts w:cstheme="minorHAnsi"/>
          <w:sz w:val="20"/>
          <w:szCs w:val="20"/>
        </w:rPr>
        <w:t>significant</w:t>
      </w:r>
      <w:r w:rsidR="00692ABF" w:rsidRPr="00347736">
        <w:rPr>
          <w:rFonts w:cstheme="minorHAnsi"/>
          <w:sz w:val="20"/>
          <w:szCs w:val="20"/>
        </w:rPr>
        <w:t xml:space="preserve"> increase (</w:t>
      </w:r>
      <w:r w:rsidR="00692ABF" w:rsidRPr="00347736">
        <w:rPr>
          <w:rFonts w:cstheme="minorHAnsi"/>
          <w:i/>
          <w:sz w:val="20"/>
          <w:szCs w:val="20"/>
        </w:rPr>
        <w:t xml:space="preserve">p </w:t>
      </w:r>
      <w:r w:rsidR="00692ABF" w:rsidRPr="00347736">
        <w:rPr>
          <w:rFonts w:cstheme="minorHAnsi"/>
          <w:sz w:val="20"/>
          <w:szCs w:val="20"/>
        </w:rPr>
        <w:t>&gt; 0.05)</w:t>
      </w:r>
      <w:r w:rsidR="00692ABF" w:rsidRPr="00692ABF">
        <w:rPr>
          <w:rFonts w:cstheme="minorHAnsi"/>
          <w:sz w:val="20"/>
          <w:szCs w:val="20"/>
        </w:rPr>
        <w:t>, although there was no statistically significant difference in liver function.</w:t>
      </w:r>
      <w:r w:rsidR="00102EBA">
        <w:rPr>
          <w:rFonts w:cstheme="minorHAnsi"/>
          <w:sz w:val="20"/>
          <w:szCs w:val="20"/>
        </w:rPr>
        <w:t xml:space="preserve"> </w:t>
      </w:r>
    </w:p>
    <w:p w14:paraId="0DE262BE" w14:textId="747F7243" w:rsidR="005E0670" w:rsidRPr="005E0670" w:rsidRDefault="006E345C" w:rsidP="005E067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47736">
        <w:rPr>
          <w:rFonts w:cstheme="minorHAnsi"/>
          <w:sz w:val="20"/>
          <w:szCs w:val="20"/>
        </w:rPr>
        <w:t xml:space="preserve">Conclusion: </w:t>
      </w:r>
      <w:r w:rsidR="005E0670" w:rsidRPr="005E0670">
        <w:rPr>
          <w:rFonts w:cstheme="minorHAnsi"/>
          <w:sz w:val="20"/>
          <w:szCs w:val="20"/>
        </w:rPr>
        <w:t xml:space="preserve">Although ELEHF is generally non-toxic, care should be </w:t>
      </w:r>
      <w:r w:rsidR="005E0670">
        <w:rPr>
          <w:rFonts w:cstheme="minorHAnsi"/>
          <w:sz w:val="20"/>
          <w:szCs w:val="20"/>
        </w:rPr>
        <w:t>taken</w:t>
      </w:r>
      <w:r w:rsidR="005E0670" w:rsidRPr="005E0670">
        <w:rPr>
          <w:rFonts w:cstheme="minorHAnsi"/>
          <w:sz w:val="20"/>
          <w:szCs w:val="20"/>
        </w:rPr>
        <w:t xml:space="preserve">, particularly when using </w:t>
      </w:r>
      <w:r w:rsidR="005E0670">
        <w:rPr>
          <w:rFonts w:cstheme="minorHAnsi"/>
          <w:sz w:val="20"/>
          <w:szCs w:val="20"/>
        </w:rPr>
        <w:t>higher</w:t>
      </w:r>
      <w:r w:rsidR="005E0670" w:rsidRPr="005E0670">
        <w:rPr>
          <w:rFonts w:cstheme="minorHAnsi"/>
          <w:sz w:val="20"/>
          <w:szCs w:val="20"/>
        </w:rPr>
        <w:t xml:space="preserve"> dosages.</w:t>
      </w:r>
    </w:p>
    <w:p w14:paraId="4461D014" w14:textId="40F2BA96" w:rsidR="00622A07" w:rsidRDefault="00622A07" w:rsidP="005E0670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17154A7B" w14:textId="2206A7B9" w:rsidR="005E0670" w:rsidRPr="00102EBA" w:rsidRDefault="005E0670" w:rsidP="005E0670">
      <w:pPr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</w:p>
    <w:p w14:paraId="5A314E54" w14:textId="2AE3B9D7" w:rsidR="00622A07" w:rsidRPr="006002A7" w:rsidRDefault="00622A07" w:rsidP="006002A7">
      <w:pPr>
        <w:spacing w:after="0" w:line="240" w:lineRule="auto"/>
        <w:jc w:val="both"/>
        <w:rPr>
          <w:rFonts w:cstheme="minorHAnsi"/>
          <w:bCs/>
          <w:sz w:val="20"/>
          <w:szCs w:val="20"/>
          <w:lang w:val="en-GB"/>
        </w:rPr>
      </w:pPr>
      <w:r w:rsidRPr="006002A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Pr="006002A7">
        <w:rPr>
          <w:rFonts w:cstheme="minorHAnsi"/>
          <w:bCs/>
          <w:sz w:val="20"/>
          <w:szCs w:val="20"/>
        </w:rPr>
        <w:t xml:space="preserve">Effect of 13-Week Daily Oral Administration of </w:t>
      </w:r>
      <w:r w:rsidRPr="006002A7">
        <w:rPr>
          <w:rFonts w:cstheme="minorHAnsi"/>
          <w:bCs/>
          <w:sz w:val="20"/>
          <w:szCs w:val="20"/>
          <w:lang w:val="en-GB"/>
        </w:rPr>
        <w:t xml:space="preserve">Ethanol Leaf Extract of </w:t>
      </w:r>
      <w:proofErr w:type="spellStart"/>
      <w:r w:rsidRPr="006002A7">
        <w:rPr>
          <w:rFonts w:cstheme="minorHAnsi"/>
          <w:bCs/>
          <w:i/>
          <w:iCs/>
          <w:sz w:val="20"/>
          <w:szCs w:val="20"/>
          <w:lang w:val="en-GB"/>
        </w:rPr>
        <w:t>Hymenodictyon</w:t>
      </w:r>
      <w:proofErr w:type="spellEnd"/>
      <w:r w:rsidRPr="006002A7">
        <w:rPr>
          <w:rFonts w:cstheme="minorHAnsi"/>
          <w:bCs/>
          <w:i/>
          <w:iCs/>
          <w:sz w:val="20"/>
          <w:szCs w:val="20"/>
          <w:lang w:val="en-GB"/>
        </w:rPr>
        <w:t xml:space="preserve"> floribundum</w:t>
      </w:r>
      <w:r w:rsidRPr="006002A7">
        <w:rPr>
          <w:rFonts w:cstheme="minorHAnsi"/>
          <w:bCs/>
          <w:sz w:val="20"/>
          <w:szCs w:val="20"/>
          <w:lang w:val="en-GB"/>
        </w:rPr>
        <w:t xml:space="preserve"> on </w:t>
      </w:r>
      <w:r w:rsidRPr="006002A7">
        <w:rPr>
          <w:rFonts w:cstheme="minorHAnsi"/>
          <w:bCs/>
          <w:sz w:val="20"/>
          <w:szCs w:val="20"/>
        </w:rPr>
        <w:t>Liver Function Parameters of Female Rats</w:t>
      </w:r>
    </w:p>
    <w:tbl>
      <w:tblPr>
        <w:tblStyle w:val="ListTable6Colorful"/>
        <w:tblW w:w="8640" w:type="dxa"/>
        <w:tblInd w:w="-1560" w:type="dxa"/>
        <w:tblLayout w:type="fixed"/>
        <w:tblLook w:val="0020" w:firstRow="1" w:lastRow="0" w:firstColumn="0" w:lastColumn="0" w:noHBand="0" w:noVBand="0"/>
      </w:tblPr>
      <w:tblGrid>
        <w:gridCol w:w="1620"/>
        <w:gridCol w:w="1440"/>
        <w:gridCol w:w="1350"/>
        <w:gridCol w:w="1350"/>
        <w:gridCol w:w="1440"/>
        <w:gridCol w:w="1440"/>
      </w:tblGrid>
      <w:tr w:rsidR="00622A07" w:rsidRPr="00622A07" w14:paraId="00C2D544" w14:textId="77777777" w:rsidTr="00622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shd w:val="clear" w:color="auto" w:fill="auto"/>
          </w:tcPr>
          <w:p w14:paraId="3096C8AE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cstheme="minorHAnsi"/>
                <w:b w:val="0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b w:val="0"/>
                <w:color w:val="000000"/>
                <w:sz w:val="20"/>
                <w:szCs w:val="20"/>
              </w:rPr>
              <w:t>Treatment</w:t>
            </w:r>
          </w:p>
          <w:p w14:paraId="239D7EB9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cstheme="minorHAnsi"/>
                <w:b w:val="0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b w:val="0"/>
                <w:color w:val="000000"/>
                <w:sz w:val="20"/>
                <w:szCs w:val="20"/>
              </w:rPr>
              <w:t>(mg/kg)</w:t>
            </w:r>
          </w:p>
        </w:tc>
        <w:tc>
          <w:tcPr>
            <w:tcW w:w="1440" w:type="dxa"/>
          </w:tcPr>
          <w:p w14:paraId="6C134BEE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b w:val="0"/>
                <w:color w:val="000000"/>
                <w:sz w:val="20"/>
                <w:szCs w:val="20"/>
              </w:rPr>
              <w:t xml:space="preserve">ALT </w:t>
            </w:r>
          </w:p>
          <w:p w14:paraId="3B54E9AA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b w:val="0"/>
                <w:color w:val="000000"/>
                <w:sz w:val="20"/>
                <w:szCs w:val="20"/>
              </w:rPr>
              <w:t>(U/L)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  <w:shd w:val="clear" w:color="auto" w:fill="auto"/>
          </w:tcPr>
          <w:p w14:paraId="4394F081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360" w:lineRule="auto"/>
              <w:ind w:left="-18" w:right="60"/>
              <w:rPr>
                <w:rFonts w:cstheme="minorHAnsi"/>
                <w:b w:val="0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b w:val="0"/>
                <w:color w:val="000000"/>
                <w:sz w:val="20"/>
                <w:szCs w:val="20"/>
              </w:rPr>
              <w:t xml:space="preserve">AST </w:t>
            </w:r>
          </w:p>
          <w:p w14:paraId="43DB6539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360" w:lineRule="auto"/>
              <w:ind w:left="-18" w:right="60"/>
              <w:rPr>
                <w:rFonts w:cstheme="minorHAnsi"/>
                <w:b w:val="0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b w:val="0"/>
                <w:color w:val="000000"/>
                <w:sz w:val="20"/>
                <w:szCs w:val="20"/>
              </w:rPr>
              <w:t>(U/L)</w:t>
            </w:r>
          </w:p>
        </w:tc>
        <w:tc>
          <w:tcPr>
            <w:tcW w:w="1350" w:type="dxa"/>
          </w:tcPr>
          <w:p w14:paraId="52C705CF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360" w:lineRule="auto"/>
              <w:ind w:left="-18" w:right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b w:val="0"/>
                <w:color w:val="000000"/>
                <w:sz w:val="20"/>
                <w:szCs w:val="20"/>
              </w:rPr>
              <w:t xml:space="preserve">ALP </w:t>
            </w:r>
          </w:p>
          <w:p w14:paraId="3836C8B1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360" w:lineRule="auto"/>
              <w:ind w:left="-18" w:right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b w:val="0"/>
                <w:color w:val="000000"/>
                <w:sz w:val="20"/>
                <w:szCs w:val="20"/>
              </w:rPr>
              <w:t>(U/L)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shd w:val="clear" w:color="auto" w:fill="auto"/>
          </w:tcPr>
          <w:p w14:paraId="28BDF6C2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cstheme="minorHAnsi"/>
                <w:b w:val="0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b w:val="0"/>
                <w:color w:val="000000"/>
                <w:sz w:val="20"/>
                <w:szCs w:val="20"/>
              </w:rPr>
              <w:t xml:space="preserve">TP </w:t>
            </w:r>
          </w:p>
          <w:p w14:paraId="1AB03CC2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cstheme="minorHAnsi"/>
                <w:b w:val="0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b w:val="0"/>
                <w:color w:val="000000"/>
                <w:sz w:val="20"/>
                <w:szCs w:val="20"/>
              </w:rPr>
              <w:t>(g/dL)</w:t>
            </w:r>
          </w:p>
        </w:tc>
        <w:tc>
          <w:tcPr>
            <w:tcW w:w="1440" w:type="dxa"/>
          </w:tcPr>
          <w:p w14:paraId="76178E81" w14:textId="77777777" w:rsidR="00622A07" w:rsidRPr="00622A07" w:rsidRDefault="00622A07" w:rsidP="00622A07">
            <w:pPr>
              <w:autoSpaceDE w:val="0"/>
              <w:autoSpaceDN w:val="0"/>
              <w:adjustRightInd w:val="0"/>
              <w:spacing w:line="360" w:lineRule="auto"/>
              <w:ind w:right="2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b w:val="0"/>
                <w:color w:val="000000"/>
                <w:sz w:val="20"/>
                <w:szCs w:val="20"/>
              </w:rPr>
              <w:t>ALB (g/dL)</w:t>
            </w:r>
          </w:p>
        </w:tc>
      </w:tr>
      <w:tr w:rsidR="00622A07" w:rsidRPr="00622A07" w14:paraId="638D4586" w14:textId="77777777" w:rsidTr="00622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shd w:val="clear" w:color="auto" w:fill="auto"/>
          </w:tcPr>
          <w:p w14:paraId="4D7C427B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color w:val="000000"/>
                <w:sz w:val="20"/>
                <w:szCs w:val="20"/>
              </w:rPr>
              <w:t>DW 1 mL/kg</w:t>
            </w:r>
          </w:p>
        </w:tc>
        <w:tc>
          <w:tcPr>
            <w:tcW w:w="1440" w:type="dxa"/>
            <w:shd w:val="clear" w:color="auto" w:fill="auto"/>
          </w:tcPr>
          <w:p w14:paraId="330F4C0A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color w:val="000000"/>
                <w:sz w:val="20"/>
                <w:szCs w:val="20"/>
              </w:rPr>
              <w:t>13.00±1.57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  <w:shd w:val="clear" w:color="auto" w:fill="auto"/>
          </w:tcPr>
          <w:p w14:paraId="6CE4FB64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480" w:lineRule="auto"/>
              <w:ind w:left="-18" w:right="60"/>
              <w:rPr>
                <w:rFonts w:cstheme="minorHAnsi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color w:val="000000"/>
                <w:sz w:val="20"/>
                <w:szCs w:val="20"/>
              </w:rPr>
              <w:t>14.71±2.75</w:t>
            </w:r>
          </w:p>
        </w:tc>
        <w:tc>
          <w:tcPr>
            <w:tcW w:w="1350" w:type="dxa"/>
            <w:shd w:val="clear" w:color="auto" w:fill="auto"/>
          </w:tcPr>
          <w:p w14:paraId="278D0A6A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480" w:lineRule="auto"/>
              <w:ind w:left="-18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color w:val="000000"/>
                <w:sz w:val="20"/>
                <w:szCs w:val="20"/>
              </w:rPr>
              <w:t>23.02±1.22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shd w:val="clear" w:color="auto" w:fill="auto"/>
          </w:tcPr>
          <w:p w14:paraId="68D54B50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color w:val="000000"/>
                <w:sz w:val="20"/>
                <w:szCs w:val="20"/>
              </w:rPr>
              <w:t>19.33±0.87</w:t>
            </w:r>
          </w:p>
        </w:tc>
        <w:tc>
          <w:tcPr>
            <w:tcW w:w="1440" w:type="dxa"/>
            <w:shd w:val="clear" w:color="auto" w:fill="auto"/>
          </w:tcPr>
          <w:p w14:paraId="59B72EDA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color w:val="000000"/>
                <w:sz w:val="20"/>
                <w:szCs w:val="20"/>
              </w:rPr>
              <w:t>2.77±0.08</w:t>
            </w:r>
          </w:p>
        </w:tc>
      </w:tr>
      <w:tr w:rsidR="00622A07" w:rsidRPr="00622A07" w14:paraId="1DF78C9A" w14:textId="77777777" w:rsidTr="00622A0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shd w:val="clear" w:color="auto" w:fill="auto"/>
          </w:tcPr>
          <w:p w14:paraId="3DB107D6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color w:val="000000"/>
                <w:sz w:val="20"/>
                <w:szCs w:val="20"/>
              </w:rPr>
              <w:t xml:space="preserve">ELHF 250 </w:t>
            </w:r>
          </w:p>
        </w:tc>
        <w:tc>
          <w:tcPr>
            <w:tcW w:w="1440" w:type="dxa"/>
          </w:tcPr>
          <w:p w14:paraId="4B8674A2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color w:val="000000"/>
                <w:sz w:val="20"/>
                <w:szCs w:val="20"/>
              </w:rPr>
              <w:t>7.86±0.63</w:t>
            </w:r>
            <w:r w:rsidRPr="00622A07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  <w:shd w:val="clear" w:color="auto" w:fill="auto"/>
          </w:tcPr>
          <w:p w14:paraId="0035472B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480" w:lineRule="auto"/>
              <w:ind w:left="-18" w:right="60"/>
              <w:rPr>
                <w:rFonts w:cstheme="minorHAnsi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color w:val="000000"/>
                <w:sz w:val="20"/>
                <w:szCs w:val="20"/>
              </w:rPr>
              <w:t>10.43±0.57</w:t>
            </w:r>
          </w:p>
        </w:tc>
        <w:tc>
          <w:tcPr>
            <w:tcW w:w="1350" w:type="dxa"/>
          </w:tcPr>
          <w:p w14:paraId="16F7E7B5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480" w:lineRule="auto"/>
              <w:ind w:left="-18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color w:val="000000"/>
                <w:sz w:val="20"/>
                <w:szCs w:val="20"/>
              </w:rPr>
              <w:t>16.98±2.80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shd w:val="clear" w:color="auto" w:fill="auto"/>
          </w:tcPr>
          <w:p w14:paraId="3F80CF3D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color w:val="000000"/>
                <w:sz w:val="20"/>
                <w:szCs w:val="20"/>
              </w:rPr>
              <w:t>15.17±1.03</w:t>
            </w:r>
          </w:p>
        </w:tc>
        <w:tc>
          <w:tcPr>
            <w:tcW w:w="1440" w:type="dxa"/>
          </w:tcPr>
          <w:p w14:paraId="4B9B401E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color w:val="000000"/>
                <w:sz w:val="20"/>
                <w:szCs w:val="20"/>
              </w:rPr>
              <w:t>3.87±0.14</w:t>
            </w:r>
            <w:r w:rsidRPr="00622A07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622A07" w:rsidRPr="00622A07" w14:paraId="5AF69A71" w14:textId="77777777" w:rsidTr="00622A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shd w:val="clear" w:color="auto" w:fill="auto"/>
          </w:tcPr>
          <w:p w14:paraId="3CD9B149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color w:val="000000"/>
                <w:sz w:val="20"/>
                <w:szCs w:val="20"/>
              </w:rPr>
              <w:t xml:space="preserve">ELHF 500 </w:t>
            </w:r>
          </w:p>
        </w:tc>
        <w:tc>
          <w:tcPr>
            <w:tcW w:w="1440" w:type="dxa"/>
            <w:shd w:val="clear" w:color="auto" w:fill="auto"/>
          </w:tcPr>
          <w:p w14:paraId="0672FFFC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color w:val="000000"/>
                <w:sz w:val="20"/>
                <w:szCs w:val="20"/>
              </w:rPr>
              <w:t>12.80±1.39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  <w:shd w:val="clear" w:color="auto" w:fill="auto"/>
          </w:tcPr>
          <w:p w14:paraId="04D31E73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480" w:lineRule="auto"/>
              <w:ind w:left="-18" w:right="60"/>
              <w:rPr>
                <w:rFonts w:cstheme="minorHAnsi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color w:val="000000"/>
                <w:sz w:val="20"/>
                <w:szCs w:val="20"/>
              </w:rPr>
              <w:t>12.60±1.47</w:t>
            </w:r>
          </w:p>
        </w:tc>
        <w:tc>
          <w:tcPr>
            <w:tcW w:w="1350" w:type="dxa"/>
            <w:shd w:val="clear" w:color="auto" w:fill="auto"/>
          </w:tcPr>
          <w:p w14:paraId="3243C239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480" w:lineRule="auto"/>
              <w:ind w:left="-18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color w:val="000000"/>
                <w:sz w:val="20"/>
                <w:szCs w:val="20"/>
              </w:rPr>
              <w:t>23.30±2.82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shd w:val="clear" w:color="auto" w:fill="auto"/>
          </w:tcPr>
          <w:p w14:paraId="6C7ED122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color w:val="000000"/>
                <w:sz w:val="20"/>
                <w:szCs w:val="20"/>
              </w:rPr>
              <w:t>18.00±1.61</w:t>
            </w:r>
          </w:p>
        </w:tc>
        <w:tc>
          <w:tcPr>
            <w:tcW w:w="1440" w:type="dxa"/>
            <w:shd w:val="clear" w:color="auto" w:fill="auto"/>
          </w:tcPr>
          <w:p w14:paraId="5829E9AE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480" w:lineRule="auto"/>
              <w:ind w:left="60" w:right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color w:val="000000"/>
                <w:sz w:val="20"/>
                <w:szCs w:val="20"/>
              </w:rPr>
              <w:t>3.98±0.26</w:t>
            </w:r>
            <w:r w:rsidRPr="00622A07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b</w:t>
            </w:r>
          </w:p>
        </w:tc>
      </w:tr>
      <w:tr w:rsidR="00622A07" w:rsidRPr="00622A07" w14:paraId="599D929A" w14:textId="77777777" w:rsidTr="00622A0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0" w:type="dxa"/>
            <w:shd w:val="clear" w:color="auto" w:fill="auto"/>
          </w:tcPr>
          <w:p w14:paraId="418FBFE9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color w:val="000000"/>
                <w:sz w:val="20"/>
                <w:szCs w:val="20"/>
              </w:rPr>
              <w:t>ELHF 1000</w:t>
            </w:r>
          </w:p>
        </w:tc>
        <w:tc>
          <w:tcPr>
            <w:tcW w:w="1440" w:type="dxa"/>
          </w:tcPr>
          <w:p w14:paraId="42C225D6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color w:val="000000"/>
                <w:sz w:val="20"/>
                <w:szCs w:val="20"/>
              </w:rPr>
              <w:t>6.80±0.49</w:t>
            </w:r>
            <w:r w:rsidRPr="00622A07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b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50" w:type="dxa"/>
            <w:shd w:val="clear" w:color="auto" w:fill="auto"/>
          </w:tcPr>
          <w:p w14:paraId="2D325491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360" w:lineRule="auto"/>
              <w:ind w:left="-18" w:right="60"/>
              <w:rPr>
                <w:rFonts w:cstheme="minorHAnsi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color w:val="000000"/>
                <w:sz w:val="20"/>
                <w:szCs w:val="20"/>
              </w:rPr>
              <w:t>8.60±0.68</w:t>
            </w:r>
          </w:p>
        </w:tc>
        <w:tc>
          <w:tcPr>
            <w:tcW w:w="1350" w:type="dxa"/>
          </w:tcPr>
          <w:p w14:paraId="7EE2FFA3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360" w:lineRule="auto"/>
              <w:ind w:left="-18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color w:val="000000"/>
                <w:sz w:val="20"/>
                <w:szCs w:val="20"/>
              </w:rPr>
              <w:t>35.40±4.36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shd w:val="clear" w:color="auto" w:fill="auto"/>
          </w:tcPr>
          <w:p w14:paraId="6575FC8F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360" w:lineRule="auto"/>
              <w:ind w:left="60" w:right="60"/>
              <w:rPr>
                <w:rFonts w:cstheme="minorHAnsi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color w:val="000000"/>
                <w:sz w:val="20"/>
                <w:szCs w:val="20"/>
              </w:rPr>
              <w:t>15.08±1.21</w:t>
            </w:r>
          </w:p>
        </w:tc>
        <w:tc>
          <w:tcPr>
            <w:tcW w:w="1440" w:type="dxa"/>
          </w:tcPr>
          <w:p w14:paraId="7A66ECF6" w14:textId="77777777" w:rsidR="00622A07" w:rsidRPr="00622A07" w:rsidRDefault="00622A07" w:rsidP="00484036">
            <w:pPr>
              <w:autoSpaceDE w:val="0"/>
              <w:autoSpaceDN w:val="0"/>
              <w:adjustRightInd w:val="0"/>
              <w:spacing w:line="360" w:lineRule="auto"/>
              <w:ind w:left="60"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622A07">
              <w:rPr>
                <w:rFonts w:cstheme="minorHAnsi"/>
                <w:color w:val="000000"/>
                <w:sz w:val="20"/>
                <w:szCs w:val="20"/>
              </w:rPr>
              <w:t>2.96±0.35</w:t>
            </w:r>
          </w:p>
        </w:tc>
      </w:tr>
    </w:tbl>
    <w:p w14:paraId="792136CC" w14:textId="7D5D2AEB" w:rsidR="00622A07" w:rsidRPr="00622A07" w:rsidRDefault="00622A07" w:rsidP="00622A07">
      <w:pPr>
        <w:spacing w:line="240" w:lineRule="auto"/>
        <w:jc w:val="both"/>
        <w:rPr>
          <w:rFonts w:cstheme="minorHAnsi"/>
          <w:sz w:val="20"/>
          <w:szCs w:val="20"/>
        </w:rPr>
      </w:pPr>
      <w:r w:rsidRPr="00622A07">
        <w:rPr>
          <w:rFonts w:cstheme="minorHAnsi"/>
          <w:bCs/>
          <w:sz w:val="20"/>
          <w:szCs w:val="20"/>
          <w:lang w:val="en-GB"/>
        </w:rPr>
        <w:t xml:space="preserve">Values are expressed as Mean ± S.E.M., </w:t>
      </w:r>
      <w:r w:rsidRPr="00622A07">
        <w:rPr>
          <w:rFonts w:cstheme="minorHAnsi"/>
          <w:bCs/>
          <w:sz w:val="20"/>
          <w:szCs w:val="20"/>
          <w:vertAlign w:val="superscript"/>
          <w:lang w:val="en-GB"/>
        </w:rPr>
        <w:t>a</w:t>
      </w:r>
      <w:r w:rsidRPr="00622A07">
        <w:rPr>
          <w:rFonts w:cstheme="minorHAnsi"/>
          <w:bCs/>
          <w:sz w:val="20"/>
          <w:szCs w:val="20"/>
          <w:lang w:val="en-GB"/>
        </w:rPr>
        <w:t xml:space="preserve"> = p&lt;0.05, </w:t>
      </w:r>
      <w:r w:rsidRPr="00622A07">
        <w:rPr>
          <w:rFonts w:cstheme="minorHAnsi"/>
          <w:bCs/>
          <w:sz w:val="20"/>
          <w:szCs w:val="20"/>
          <w:vertAlign w:val="superscript"/>
          <w:lang w:val="en-GB"/>
        </w:rPr>
        <w:t>b</w:t>
      </w:r>
      <w:r w:rsidRPr="00622A07">
        <w:rPr>
          <w:rFonts w:cstheme="minorHAnsi"/>
          <w:bCs/>
          <w:sz w:val="20"/>
          <w:szCs w:val="20"/>
          <w:lang w:val="en-GB"/>
        </w:rPr>
        <w:t xml:space="preserve"> = p&lt;0.01 as compared to DW group – One way ANOVA followed by Bonferroni post hoc test, n = 5, DW = Distilled water, ELHF = Ethanol Leaf Extract of </w:t>
      </w:r>
      <w:proofErr w:type="spellStart"/>
      <w:r w:rsidRPr="00622A07">
        <w:rPr>
          <w:rFonts w:cstheme="minorHAnsi"/>
          <w:bCs/>
          <w:i/>
          <w:iCs/>
          <w:sz w:val="20"/>
          <w:szCs w:val="20"/>
          <w:lang w:val="en-GB"/>
        </w:rPr>
        <w:t>Hymenodictyon</w:t>
      </w:r>
      <w:proofErr w:type="spellEnd"/>
      <w:r w:rsidRPr="00622A07">
        <w:rPr>
          <w:rFonts w:cstheme="minorHAnsi"/>
          <w:bCs/>
          <w:i/>
          <w:iCs/>
          <w:sz w:val="20"/>
          <w:szCs w:val="20"/>
          <w:lang w:val="en-GB"/>
        </w:rPr>
        <w:t xml:space="preserve"> floribundum</w:t>
      </w:r>
    </w:p>
    <w:sectPr w:rsidR="00622A07" w:rsidRPr="00622A07" w:rsidSect="00B41FD5">
      <w:pgSz w:w="8391" w:h="11906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8D"/>
    <w:rsid w:val="00065D8B"/>
    <w:rsid w:val="00102EBA"/>
    <w:rsid w:val="00126D88"/>
    <w:rsid w:val="0019218D"/>
    <w:rsid w:val="00300B0D"/>
    <w:rsid w:val="00347736"/>
    <w:rsid w:val="005E0670"/>
    <w:rsid w:val="006002A7"/>
    <w:rsid w:val="00622A07"/>
    <w:rsid w:val="00692ABF"/>
    <w:rsid w:val="006E345C"/>
    <w:rsid w:val="007A66E3"/>
    <w:rsid w:val="00803F6E"/>
    <w:rsid w:val="00866944"/>
    <w:rsid w:val="009054F0"/>
    <w:rsid w:val="00AE2E5D"/>
    <w:rsid w:val="00B41FD5"/>
    <w:rsid w:val="00C41C3B"/>
    <w:rsid w:val="00D959FA"/>
    <w:rsid w:val="00DE20D3"/>
    <w:rsid w:val="00F762C2"/>
    <w:rsid w:val="00F9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F980E"/>
  <w15:chartTrackingRefBased/>
  <w15:docId w15:val="{FA7DBC47-1336-4805-8D0A-9D21BAAC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18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18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18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18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1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18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18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18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1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1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1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1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1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1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18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18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18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18D"/>
    <w:rPr>
      <w:b/>
      <w:bCs/>
      <w:smallCaps/>
      <w:color w:val="365F91" w:themeColor="accent1" w:themeShade="BF"/>
      <w:spacing w:val="5"/>
    </w:rPr>
  </w:style>
  <w:style w:type="table" w:styleId="ListTable6Colorful">
    <w:name w:val="List Table 6 Colorful"/>
    <w:basedOn w:val="TableNormal"/>
    <w:uiPriority w:val="51"/>
    <w:rsid w:val="00300B0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2124</Characters>
  <Application>Microsoft Office Word</Application>
  <DocSecurity>0</DocSecurity>
  <Lines>76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2025-09-12T15:44:00Z</dcterms:created>
  <dcterms:modified xsi:type="dcterms:W3CDTF">2025-09-12T15:44:00Z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c574d051-f59e-4e26-b8f3-5bb6549b2ec5</vt:lpwstr>
  </property>
</Properties>
</file>