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29D7C" w14:textId="7FE99AB2" w:rsidR="00A65D5C" w:rsidRDefault="00A65D5C" w:rsidP="00A65D5C">
      <w:pPr>
        <w:jc w:val="center"/>
        <w:rPr>
          <w:rFonts w:ascii="Calibri" w:hAnsi="Calibri" w:cs="Calibri"/>
          <w:b/>
          <w:sz w:val="20"/>
          <w:szCs w:val="20"/>
          <w:lang w:val="en-AU"/>
        </w:rPr>
      </w:pPr>
      <w:r w:rsidRPr="006E1AFE">
        <w:rPr>
          <w:rFonts w:ascii="Calibri" w:hAnsi="Calibri" w:cs="Calibri"/>
          <w:b/>
          <w:sz w:val="20"/>
          <w:szCs w:val="20"/>
          <w:lang w:val="en-AU"/>
        </w:rPr>
        <w:t xml:space="preserve">Harnessing Antineoplastic Properties of Hellebrigenol </w:t>
      </w:r>
      <w:r>
        <w:rPr>
          <w:rFonts w:ascii="Calibri" w:hAnsi="Calibri" w:cs="Calibri"/>
          <w:b/>
          <w:sz w:val="20"/>
          <w:szCs w:val="20"/>
          <w:lang w:val="en-AU"/>
        </w:rPr>
        <w:t>against</w:t>
      </w:r>
      <w:r w:rsidRPr="006E1AFE">
        <w:rPr>
          <w:rFonts w:ascii="Calibri" w:hAnsi="Calibri" w:cs="Calibri"/>
          <w:b/>
          <w:sz w:val="20"/>
          <w:szCs w:val="20"/>
          <w:lang w:val="en-AU"/>
        </w:rPr>
        <w:t xml:space="preserve"> Hepatocellular carcinoma</w:t>
      </w:r>
    </w:p>
    <w:p w14:paraId="41409E06" w14:textId="28B260DA" w:rsidR="00A65D5C" w:rsidRDefault="00A65D5C" w:rsidP="00A65D5C">
      <w:pPr>
        <w:jc w:val="center"/>
        <w:rPr>
          <w:rFonts w:ascii="Calibri" w:hAnsi="Calibri" w:cs="Calibri"/>
          <w:sz w:val="20"/>
          <w:szCs w:val="20"/>
          <w:lang w:val="en-AU"/>
        </w:rPr>
      </w:pPr>
      <w:r>
        <w:rPr>
          <w:rFonts w:ascii="Calibri" w:hAnsi="Calibri" w:cs="Calibri"/>
          <w:sz w:val="20"/>
          <w:szCs w:val="20"/>
          <w:lang w:val="en-AU"/>
        </w:rPr>
        <w:t xml:space="preserve">Chandra Sekhar </w:t>
      </w:r>
      <w:proofErr w:type="spellStart"/>
      <w:r>
        <w:rPr>
          <w:rFonts w:ascii="Calibri" w:hAnsi="Calibri" w:cs="Calibri"/>
          <w:sz w:val="20"/>
          <w:szCs w:val="20"/>
          <w:lang w:val="en-AU"/>
        </w:rPr>
        <w:t>Bhol</w:t>
      </w:r>
      <w:proofErr w:type="spellEnd"/>
      <w:r w:rsidRPr="004E5450">
        <w:rPr>
          <w:rFonts w:ascii="Calibri" w:hAnsi="Calibri" w:cs="Calibri"/>
          <w:sz w:val="20"/>
          <w:szCs w:val="20"/>
          <w:lang w:val="en-AU"/>
        </w:rPr>
        <w:t xml:space="preserve">, </w:t>
      </w:r>
      <w:r>
        <w:rPr>
          <w:rFonts w:ascii="Calibri" w:hAnsi="Calibri" w:cs="Calibri"/>
          <w:sz w:val="20"/>
          <w:szCs w:val="20"/>
          <w:lang w:val="en-AU"/>
        </w:rPr>
        <w:t>Gautam Sethi</w:t>
      </w:r>
      <w:r w:rsidR="009429BC">
        <w:rPr>
          <w:rFonts w:ascii="Calibri" w:hAnsi="Calibri" w:cs="Calibri"/>
          <w:sz w:val="20"/>
          <w:szCs w:val="20"/>
          <w:lang w:val="en-AU"/>
        </w:rPr>
        <w:t>*</w:t>
      </w:r>
    </w:p>
    <w:p w14:paraId="66FB2F4F" w14:textId="77777777" w:rsidR="00A65D5C" w:rsidRDefault="00A65D5C" w:rsidP="00A65D5C">
      <w:pPr>
        <w:jc w:val="center"/>
        <w:rPr>
          <w:rFonts w:ascii="Calibri" w:hAnsi="Calibri" w:cs="Calibri"/>
          <w:sz w:val="20"/>
          <w:szCs w:val="20"/>
          <w:lang w:val="en-AU"/>
        </w:rPr>
      </w:pPr>
      <w:r w:rsidRPr="00813471">
        <w:rPr>
          <w:rFonts w:ascii="Calibri" w:hAnsi="Calibri" w:cs="Calibri"/>
          <w:sz w:val="20"/>
          <w:szCs w:val="20"/>
          <w:lang w:val="en-AU"/>
        </w:rPr>
        <w:t>Cancer Pharmacology Laboratory, Department of Pharmacology, Yong Loo Lin School of Medicine, National University of Singapore, Singapore, 117600</w:t>
      </w:r>
    </w:p>
    <w:p w14:paraId="4D52CF74" w14:textId="77777777" w:rsidR="00A65D5C" w:rsidRDefault="00A65D5C" w:rsidP="00A65D5C">
      <w:pPr>
        <w:jc w:val="center"/>
        <w:rPr>
          <w:rFonts w:ascii="Calibri" w:hAnsi="Calibri" w:cs="Calibri"/>
          <w:sz w:val="20"/>
          <w:szCs w:val="20"/>
          <w:lang w:val="en-AU"/>
        </w:rPr>
      </w:pPr>
    </w:p>
    <w:p w14:paraId="7CED623D" w14:textId="377A9DB2" w:rsidR="00A65D5C" w:rsidRPr="006E1AFE" w:rsidRDefault="00A65D5C" w:rsidP="00A65D5C">
      <w:pPr>
        <w:jc w:val="both"/>
        <w:rPr>
          <w:rFonts w:ascii="Calibri" w:hAnsi="Calibri" w:cs="Calibri"/>
          <w:sz w:val="20"/>
          <w:szCs w:val="20"/>
          <w:lang w:val="en-AU"/>
        </w:rPr>
      </w:pPr>
      <w:r w:rsidRPr="006E1AFE">
        <w:rPr>
          <w:rFonts w:ascii="Calibri" w:hAnsi="Calibri" w:cs="Calibri"/>
          <w:b/>
          <w:sz w:val="20"/>
          <w:szCs w:val="20"/>
          <w:lang w:val="en-AU"/>
        </w:rPr>
        <w:t>Introduction.</w:t>
      </w:r>
      <w:r w:rsidRPr="006E1AFE">
        <w:rPr>
          <w:rFonts w:ascii="Calibri" w:hAnsi="Calibri" w:cs="Calibri"/>
          <w:sz w:val="20"/>
          <w:szCs w:val="20"/>
          <w:lang w:val="en-AU"/>
        </w:rPr>
        <w:t xml:space="preserve"> Hepatocellular carcinoma (HCC) is a highly metastatic and recalcitrant carcinoma, frequently detected at advanced stages with extremely poor prognosis and limited therapeutic options. On the other hand, autophagy exhibits a dual role in HCC tumorigenesis, acting to both pro-survival and pro-death pathways. Of note, cytoprotective autophagy inductions upon therapeutics treatment has been identified as a mechanism of HCC resistance, inducing stemness and evading apoptosis. Hence, targeting cytoprotective autophagy can be a potential target for innovative treatments to enhance the therapeutics efficacy against HCC. </w:t>
      </w:r>
    </w:p>
    <w:p w14:paraId="39DEBAD7" w14:textId="43A4AF5A" w:rsidR="00A65D5C" w:rsidRPr="006E1AFE" w:rsidRDefault="00A65D5C" w:rsidP="00A65D5C">
      <w:pPr>
        <w:jc w:val="both"/>
        <w:rPr>
          <w:rFonts w:ascii="Calibri" w:hAnsi="Calibri" w:cs="Calibri"/>
          <w:sz w:val="20"/>
          <w:szCs w:val="20"/>
          <w:lang w:val="en-AU"/>
        </w:rPr>
      </w:pPr>
      <w:r w:rsidRPr="006E1AFE">
        <w:rPr>
          <w:rFonts w:ascii="Calibri" w:hAnsi="Calibri" w:cs="Calibri"/>
          <w:b/>
          <w:sz w:val="20"/>
          <w:szCs w:val="20"/>
          <w:lang w:val="en-AU"/>
        </w:rPr>
        <w:t>Aims.</w:t>
      </w:r>
      <w:r w:rsidRPr="006E1AFE">
        <w:rPr>
          <w:rFonts w:ascii="Calibri" w:hAnsi="Calibri" w:cs="Calibri"/>
          <w:sz w:val="20"/>
          <w:szCs w:val="20"/>
          <w:lang w:val="en-AU"/>
        </w:rPr>
        <w:t xml:space="preserve"> The present study evaluated the potential antineoplastic effects of Hellebrigenol (HBGL)</w:t>
      </w:r>
      <w:r>
        <w:rPr>
          <w:rFonts w:ascii="Calibri" w:hAnsi="Calibri" w:cs="Calibri"/>
          <w:sz w:val="20"/>
          <w:szCs w:val="20"/>
          <w:lang w:val="en-AU"/>
        </w:rPr>
        <w:t xml:space="preserve">, a </w:t>
      </w:r>
      <w:r w:rsidRPr="00665636">
        <w:rPr>
          <w:rFonts w:ascii="Calibri" w:hAnsi="Calibri" w:cs="Calibri"/>
          <w:sz w:val="20"/>
          <w:szCs w:val="20"/>
          <w:lang w:val="en-AU"/>
        </w:rPr>
        <w:t xml:space="preserve">metabolite of </w:t>
      </w:r>
      <w:proofErr w:type="spellStart"/>
      <w:r w:rsidRPr="00665636">
        <w:rPr>
          <w:rFonts w:ascii="Calibri" w:hAnsi="Calibri" w:cs="Calibri"/>
          <w:sz w:val="20"/>
          <w:szCs w:val="20"/>
          <w:lang w:val="en-AU"/>
        </w:rPr>
        <w:t>bufadienolides</w:t>
      </w:r>
      <w:proofErr w:type="spellEnd"/>
      <w:r w:rsidRPr="00665636">
        <w:rPr>
          <w:rFonts w:ascii="Calibri" w:hAnsi="Calibri" w:cs="Calibri"/>
          <w:sz w:val="20"/>
          <w:szCs w:val="20"/>
          <w:lang w:val="en-AU"/>
        </w:rPr>
        <w:t xml:space="preserve"> </w:t>
      </w:r>
      <w:r w:rsidRPr="006E1AFE">
        <w:rPr>
          <w:rFonts w:ascii="Calibri" w:hAnsi="Calibri" w:cs="Calibri"/>
          <w:i/>
          <w:sz w:val="20"/>
          <w:szCs w:val="20"/>
          <w:lang w:val="en-AU"/>
        </w:rPr>
        <w:t>in vitro</w:t>
      </w:r>
      <w:r w:rsidRPr="006E1AFE">
        <w:rPr>
          <w:rFonts w:ascii="Calibri" w:hAnsi="Calibri" w:cs="Calibri"/>
          <w:sz w:val="20"/>
          <w:szCs w:val="20"/>
          <w:lang w:val="en-AU"/>
        </w:rPr>
        <w:t xml:space="preserve"> with different HCC cell lines and </w:t>
      </w:r>
      <w:r w:rsidRPr="006E1AFE">
        <w:rPr>
          <w:rFonts w:ascii="Calibri" w:hAnsi="Calibri" w:cs="Calibri"/>
          <w:i/>
          <w:sz w:val="20"/>
          <w:szCs w:val="20"/>
          <w:lang w:val="en-AU"/>
        </w:rPr>
        <w:t>in vivo</w:t>
      </w:r>
      <w:r w:rsidRPr="006E1AFE">
        <w:rPr>
          <w:rFonts w:ascii="Calibri" w:hAnsi="Calibri" w:cs="Calibri"/>
          <w:sz w:val="20"/>
          <w:szCs w:val="20"/>
          <w:lang w:val="en-AU"/>
        </w:rPr>
        <w:t xml:space="preserve"> in HCC bearing mice model.</w:t>
      </w:r>
      <w:r w:rsidR="009429BC" w:rsidRPr="009429BC">
        <w:rPr>
          <w:rFonts w:ascii="Calibri" w:hAnsi="Calibri" w:cs="Calibri"/>
          <w:sz w:val="20"/>
          <w:szCs w:val="20"/>
          <w:lang w:val="en-AU"/>
        </w:rPr>
        <w:t xml:space="preserve"> </w:t>
      </w:r>
    </w:p>
    <w:p w14:paraId="30B2AD89" w14:textId="1FE7F201" w:rsidR="00A65D5C" w:rsidRPr="006E1AFE" w:rsidRDefault="009429BC" w:rsidP="00A65D5C">
      <w:pPr>
        <w:jc w:val="both"/>
        <w:rPr>
          <w:rFonts w:ascii="Calibri" w:hAnsi="Calibri" w:cs="Calibri"/>
          <w:sz w:val="20"/>
          <w:szCs w:val="20"/>
          <w:lang w:val="en-AU"/>
        </w:rPr>
      </w:pPr>
      <w:r w:rsidRPr="009429BC">
        <w:rPr>
          <w:noProof/>
        </w:rPr>
        <w:drawing>
          <wp:anchor distT="0" distB="0" distL="114300" distR="114300" simplePos="0" relativeHeight="251658240" behindDoc="0" locked="0" layoutInCell="1" allowOverlap="1" wp14:anchorId="0EA9CB3B" wp14:editId="7802169C">
            <wp:simplePos x="0" y="0"/>
            <wp:positionH relativeFrom="column">
              <wp:posOffset>4486275</wp:posOffset>
            </wp:positionH>
            <wp:positionV relativeFrom="paragraph">
              <wp:posOffset>60960</wp:posOffset>
            </wp:positionV>
            <wp:extent cx="1752600" cy="15024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5260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D5C" w:rsidRPr="006E1AFE">
        <w:rPr>
          <w:rFonts w:ascii="Calibri" w:hAnsi="Calibri" w:cs="Calibri"/>
          <w:b/>
          <w:sz w:val="20"/>
          <w:szCs w:val="20"/>
          <w:lang w:val="en-AU"/>
        </w:rPr>
        <w:t>Methods.</w:t>
      </w:r>
      <w:r w:rsidR="00A65D5C" w:rsidRPr="006E1AFE">
        <w:rPr>
          <w:rFonts w:ascii="Calibri" w:hAnsi="Calibri" w:cs="Calibri"/>
          <w:sz w:val="20"/>
          <w:szCs w:val="20"/>
          <w:lang w:val="en-AU"/>
        </w:rPr>
        <w:t xml:space="preserve"> The effect of HBGL on HCC growth and viability was measured using MTT assay and </w:t>
      </w:r>
      <w:proofErr w:type="spellStart"/>
      <w:r w:rsidR="00A65D5C" w:rsidRPr="006E1AFE">
        <w:rPr>
          <w:rFonts w:ascii="Calibri" w:hAnsi="Calibri" w:cs="Calibri"/>
          <w:sz w:val="20"/>
          <w:szCs w:val="20"/>
          <w:lang w:val="en-AU"/>
        </w:rPr>
        <w:t>Calcein</w:t>
      </w:r>
      <w:proofErr w:type="spellEnd"/>
      <w:r w:rsidR="00A65D5C" w:rsidRPr="006E1AFE">
        <w:rPr>
          <w:rFonts w:ascii="Calibri" w:hAnsi="Calibri" w:cs="Calibri"/>
          <w:sz w:val="20"/>
          <w:szCs w:val="20"/>
          <w:lang w:val="en-AU"/>
        </w:rPr>
        <w:t xml:space="preserve"> AM and ethidium homodimer-1 staining. Western blot, </w:t>
      </w:r>
      <w:r w:rsidR="00A65D5C" w:rsidRPr="006E1AFE">
        <w:rPr>
          <w:rFonts w:ascii="Calibri" w:hAnsi="Calibri" w:cs="Calibri"/>
          <w:sz w:val="20"/>
          <w:szCs w:val="20"/>
        </w:rPr>
        <w:t xml:space="preserve">Annexin V/PI staining, Cas3/7 glow, wound healing, invasion, migration and sphere formation assays were conducted to study the apoptosis, epithelial-mesenchymal transition (EMT) and stemness inhibition potential of HBGL in HCC. Acridine orange staining, lysotracker staining and Western blot were conducted to check the autophagy induction potential of HBGL. Next, MTT assay, colony formation, sphere assays were conducted to determine the nature of HGBL induced autophagy on HCC fate. </w:t>
      </w:r>
      <w:r w:rsidR="00A65D5C" w:rsidRPr="006E1AFE">
        <w:rPr>
          <w:rFonts w:ascii="Calibri" w:hAnsi="Calibri" w:cs="Calibri"/>
          <w:sz w:val="20"/>
          <w:szCs w:val="20"/>
          <w:lang w:val="en-AU"/>
        </w:rPr>
        <w:t xml:space="preserve">The </w:t>
      </w:r>
      <w:r w:rsidR="00A65D5C" w:rsidRPr="006E1AFE">
        <w:rPr>
          <w:rFonts w:ascii="Calibri" w:hAnsi="Calibri" w:cs="Calibri"/>
          <w:i/>
          <w:sz w:val="20"/>
          <w:szCs w:val="20"/>
          <w:lang w:val="en-AU"/>
        </w:rPr>
        <w:t>in vivo</w:t>
      </w:r>
      <w:r w:rsidR="00A65D5C" w:rsidRPr="006E1AFE">
        <w:rPr>
          <w:rFonts w:ascii="Calibri" w:hAnsi="Calibri" w:cs="Calibri"/>
          <w:sz w:val="20"/>
          <w:szCs w:val="20"/>
          <w:lang w:val="en-AU"/>
        </w:rPr>
        <w:t xml:space="preserve"> efficacy of HBGL was demonstrated in HCC bearing mice.</w:t>
      </w:r>
      <w:r w:rsidR="001C1F49" w:rsidRPr="001C1F49">
        <w:t xml:space="preserve"> </w:t>
      </w:r>
    </w:p>
    <w:p w14:paraId="51B83C08" w14:textId="6ADA7E26" w:rsidR="00A65D5C" w:rsidRPr="006E1AFE" w:rsidRDefault="00A65D5C" w:rsidP="00A65D5C">
      <w:pPr>
        <w:jc w:val="both"/>
        <w:rPr>
          <w:rFonts w:ascii="Calibri" w:hAnsi="Calibri" w:cs="Calibri"/>
          <w:b/>
          <w:sz w:val="20"/>
          <w:szCs w:val="20"/>
          <w:lang w:val="en-AU"/>
        </w:rPr>
      </w:pPr>
      <w:r w:rsidRPr="006E1AFE">
        <w:rPr>
          <w:rFonts w:ascii="Calibri" w:hAnsi="Calibri" w:cs="Calibri"/>
          <w:b/>
          <w:sz w:val="20"/>
          <w:szCs w:val="20"/>
          <w:lang w:val="en-AU"/>
        </w:rPr>
        <w:t>Results.</w:t>
      </w:r>
      <w:r w:rsidRPr="006E1AFE">
        <w:rPr>
          <w:rFonts w:ascii="Calibri" w:hAnsi="Calibri" w:cs="Calibri"/>
          <w:sz w:val="20"/>
          <w:szCs w:val="20"/>
          <w:lang w:val="en-AU"/>
        </w:rPr>
        <w:t xml:space="preserve"> HBGL demonstrated a strong antiproliferative activity against HCC as demonstrated by MTT and colony formation assay. Increased dose treatment of HBGL reported to induce apoptosis, EMT and stemness inhibition in HCC. Similarly, treatment of HBGL decreased the </w:t>
      </w:r>
      <w:proofErr w:type="spellStart"/>
      <w:r w:rsidRPr="006E1AFE">
        <w:rPr>
          <w:rFonts w:ascii="Calibri" w:hAnsi="Calibri" w:cs="Calibri"/>
          <w:sz w:val="20"/>
          <w:szCs w:val="20"/>
          <w:lang w:val="en-AU"/>
        </w:rPr>
        <w:t>tumor</w:t>
      </w:r>
      <w:proofErr w:type="spellEnd"/>
      <w:r w:rsidRPr="006E1AFE">
        <w:rPr>
          <w:rFonts w:ascii="Calibri" w:hAnsi="Calibri" w:cs="Calibri"/>
          <w:sz w:val="20"/>
          <w:szCs w:val="20"/>
          <w:lang w:val="en-AU"/>
        </w:rPr>
        <w:t xml:space="preserve"> burden in HCC bearing mice. Interestingly, treatment with autophagic blockers led to a noticeable reduction in HBGL-treated cell viability, stemness and induction of apoptosis in HCC suggesting the cytoprotective roleplay of HBGL induced autophagy.</w:t>
      </w:r>
      <w:r w:rsidRPr="006E1AFE">
        <w:rPr>
          <w:rFonts w:ascii="Calibri" w:hAnsi="Calibri" w:cs="Calibri"/>
          <w:b/>
          <w:sz w:val="20"/>
          <w:szCs w:val="20"/>
          <w:lang w:val="en-AU"/>
        </w:rPr>
        <w:t xml:space="preserve"> </w:t>
      </w:r>
    </w:p>
    <w:p w14:paraId="23E3E1E3" w14:textId="77777777" w:rsidR="00A65D5C" w:rsidRDefault="00A65D5C" w:rsidP="00A65D5C">
      <w:pPr>
        <w:jc w:val="both"/>
        <w:rPr>
          <w:rFonts w:ascii="Calibri" w:hAnsi="Calibri" w:cs="Calibri"/>
          <w:sz w:val="20"/>
          <w:szCs w:val="20"/>
          <w:lang w:val="en-AU"/>
        </w:rPr>
      </w:pPr>
      <w:r w:rsidRPr="006E1AFE">
        <w:rPr>
          <w:rFonts w:ascii="Calibri" w:hAnsi="Calibri" w:cs="Calibri"/>
          <w:b/>
          <w:sz w:val="20"/>
          <w:szCs w:val="20"/>
          <w:lang w:val="en-AU"/>
        </w:rPr>
        <w:t>Discussion.</w:t>
      </w:r>
      <w:r w:rsidRPr="006E1AFE">
        <w:rPr>
          <w:rFonts w:ascii="Calibri" w:hAnsi="Calibri" w:cs="Calibri"/>
          <w:sz w:val="20"/>
          <w:szCs w:val="20"/>
          <w:lang w:val="en-AU"/>
        </w:rPr>
        <w:t xml:space="preserve"> In this study, we evaluated the apoptotic, EMT and stemness inhibition potential of HBGL in HCC which can be more efficient upon autophagy inhibition for successful HCC therapy.</w:t>
      </w:r>
      <w:bookmarkStart w:id="0" w:name="_GoBack"/>
      <w:bookmarkEnd w:id="0"/>
    </w:p>
    <w:p w14:paraId="723585E4" w14:textId="77777777" w:rsidR="005E6394" w:rsidRDefault="005E6394"/>
    <w:sectPr w:rsidR="005E63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394"/>
    <w:rsid w:val="001C1F49"/>
    <w:rsid w:val="003F491C"/>
    <w:rsid w:val="00450E49"/>
    <w:rsid w:val="00505EDA"/>
    <w:rsid w:val="005E6394"/>
    <w:rsid w:val="009429BC"/>
    <w:rsid w:val="00A65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BB81C"/>
  <w15:chartTrackingRefBased/>
  <w15:docId w15:val="{EC4546F9-18A3-47B1-AAFD-73D86CE15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5D5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Chandra Sekhar Bhol</dc:creator>
  <cp:keywords/>
  <dc:description/>
  <cp:lastModifiedBy>Editor</cp:lastModifiedBy>
  <cp:revision>3</cp:revision>
  <dcterms:created xsi:type="dcterms:W3CDTF">2025-09-08T02:26:00Z</dcterms:created>
  <dcterms:modified xsi:type="dcterms:W3CDTF">2025-09-08T02:27:00Z</dcterms:modified>
</cp:coreProperties>
</file>