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60EAC2E8" w:rsidR="00711813" w:rsidRPr="00DF1C8E" w:rsidRDefault="006C556B" w:rsidP="00690A60">
      <w:pPr>
        <w:ind w:left="284" w:right="284"/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6C556B">
        <w:rPr>
          <w:rFonts w:ascii="Calibri" w:hAnsi="Calibri" w:cs="Calibri"/>
          <w:b/>
          <w:sz w:val="28"/>
          <w:szCs w:val="28"/>
          <w:lang w:val="en-AU"/>
        </w:rPr>
        <w:t>High-Performance Bi</w:t>
      </w:r>
      <w:r w:rsidRPr="006C556B">
        <w:rPr>
          <w:rFonts w:ascii="Calibri" w:hAnsi="Calibri" w:cs="Calibri"/>
          <w:b/>
          <w:sz w:val="28"/>
          <w:szCs w:val="28"/>
          <w:vertAlign w:val="subscript"/>
          <w:lang w:val="en-AU"/>
        </w:rPr>
        <w:t>2</w:t>
      </w:r>
      <w:r w:rsidRPr="006C556B">
        <w:rPr>
          <w:rFonts w:ascii="Calibri" w:hAnsi="Calibri" w:cs="Calibri"/>
          <w:b/>
          <w:sz w:val="28"/>
          <w:szCs w:val="28"/>
          <w:lang w:val="en-AU"/>
        </w:rPr>
        <w:t>Te</w:t>
      </w:r>
      <w:r w:rsidRPr="006C556B">
        <w:rPr>
          <w:rFonts w:ascii="Calibri" w:hAnsi="Calibri" w:cs="Calibri"/>
          <w:b/>
          <w:sz w:val="28"/>
          <w:szCs w:val="28"/>
          <w:vertAlign w:val="subscript"/>
          <w:lang w:val="en-AU"/>
        </w:rPr>
        <w:t xml:space="preserve">3 </w:t>
      </w:r>
      <w:r w:rsidRPr="006C556B">
        <w:rPr>
          <w:rFonts w:ascii="Calibri" w:hAnsi="Calibri" w:cs="Calibri"/>
          <w:b/>
          <w:sz w:val="28"/>
          <w:szCs w:val="28"/>
          <w:lang w:val="en-AU"/>
        </w:rPr>
        <w:t>Thermoelectric Materials</w:t>
      </w:r>
      <w:r w:rsidRPr="006C556B">
        <w:rPr>
          <w:rFonts w:ascii="Calibri" w:hAnsi="Calibri" w:cs="Calibri"/>
          <w:b/>
          <w:i/>
          <w:sz w:val="28"/>
          <w:szCs w:val="28"/>
          <w:lang w:val="en-AU"/>
        </w:rPr>
        <w:t xml:space="preserve"> via</w:t>
      </w:r>
      <w:r w:rsidRPr="006C556B">
        <w:rPr>
          <w:rFonts w:ascii="Calibri" w:hAnsi="Calibri" w:cs="Calibri"/>
          <w:b/>
          <w:sz w:val="28"/>
          <w:szCs w:val="28"/>
          <w:lang w:val="en-AU"/>
        </w:rPr>
        <w:t xml:space="preserve"> Modulation of Carrier Concentration Guided by SPB Model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761C7063" w:rsidR="00DF1C8E" w:rsidRPr="00690A60" w:rsidRDefault="00ED1052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Yuan </w:t>
      </w:r>
      <w:proofErr w:type="spellStart"/>
      <w:r>
        <w:rPr>
          <w:rFonts w:ascii="Calibri" w:hAnsi="Calibri" w:cs="Calibri"/>
          <w:i/>
          <w:lang w:val="en-AU"/>
        </w:rPr>
        <w:t>Wang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690A60">
        <w:rPr>
          <w:rFonts w:ascii="Calibri" w:hAnsi="Calibri" w:cs="Calibri"/>
          <w:i/>
          <w:lang w:val="en-AU"/>
        </w:rPr>
        <w:t xml:space="preserve">, </w:t>
      </w:r>
      <w:proofErr w:type="spellStart"/>
      <w:r w:rsidR="00690A60">
        <w:rPr>
          <w:rFonts w:ascii="Calibri" w:hAnsi="Calibri" w:cs="Calibri"/>
          <w:i/>
          <w:lang w:val="en-AU"/>
        </w:rPr>
        <w:t>Jin</w:t>
      </w:r>
      <w:proofErr w:type="spellEnd"/>
      <w:r w:rsidR="00690A60">
        <w:rPr>
          <w:rFonts w:ascii="Calibri" w:hAnsi="Calibri" w:cs="Calibri"/>
          <w:i/>
          <w:lang w:val="en-AU"/>
        </w:rPr>
        <w:t xml:space="preserve"> </w:t>
      </w:r>
      <w:proofErr w:type="spellStart"/>
      <w:r w:rsidR="00690A60">
        <w:rPr>
          <w:rFonts w:ascii="Calibri" w:hAnsi="Calibri" w:cs="Calibri"/>
          <w:i/>
          <w:lang w:val="en-AU"/>
        </w:rPr>
        <w:t>Zou</w:t>
      </w:r>
      <w:r w:rsidR="00690A60" w:rsidRPr="00690A60">
        <w:rPr>
          <w:rFonts w:ascii="Calibri" w:hAnsi="Calibri" w:cs="Calibri"/>
          <w:i/>
          <w:vertAlign w:val="superscript"/>
          <w:lang w:val="en-AU"/>
        </w:rPr>
        <w:t>B</w:t>
      </w:r>
      <w:proofErr w:type="gramStart"/>
      <w:r w:rsidR="00711813" w:rsidRPr="005F19FF">
        <w:rPr>
          <w:rFonts w:ascii="Calibri" w:hAnsi="Calibri" w:cs="Calibri"/>
          <w:i/>
          <w:vertAlign w:val="superscript"/>
          <w:lang w:val="en-AU"/>
        </w:rPr>
        <w:t>,</w:t>
      </w:r>
      <w:r w:rsidR="00690A60"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proofErr w:type="gramEnd"/>
      <w:r>
        <w:rPr>
          <w:rFonts w:ascii="Calibri" w:hAnsi="Calibri" w:cs="Calibri"/>
          <w:i/>
          <w:lang w:val="en-AU"/>
        </w:rPr>
        <w:t xml:space="preserve">, </w:t>
      </w:r>
      <w:proofErr w:type="spellStart"/>
      <w:r>
        <w:rPr>
          <w:rFonts w:ascii="Calibri" w:hAnsi="Calibri" w:cs="Calibri"/>
          <w:i/>
          <w:lang w:val="en-AU"/>
        </w:rPr>
        <w:t>Zhi</w:t>
      </w:r>
      <w:proofErr w:type="spellEnd"/>
      <w:r>
        <w:rPr>
          <w:rFonts w:ascii="Calibri" w:hAnsi="Calibri" w:cs="Calibri"/>
          <w:i/>
          <w:lang w:val="en-AU"/>
        </w:rPr>
        <w:t xml:space="preserve">-Gang </w:t>
      </w:r>
      <w:proofErr w:type="spellStart"/>
      <w:r>
        <w:rPr>
          <w:rFonts w:ascii="Calibri" w:hAnsi="Calibri" w:cs="Calibri"/>
          <w:i/>
          <w:lang w:val="en-AU"/>
        </w:rPr>
        <w:t>Che</w:t>
      </w:r>
      <w:r>
        <w:rPr>
          <w:rFonts w:ascii="Calibri" w:hAnsi="Calibri" w:cs="Calibri" w:hint="eastAsia"/>
          <w:i/>
          <w:lang w:val="en-AU" w:eastAsia="zh-CN"/>
        </w:rPr>
        <w:t>n</w:t>
      </w:r>
      <w:r w:rsidR="00690A60" w:rsidRPr="005F19FF">
        <w:rPr>
          <w:rFonts w:ascii="Calibri" w:hAnsi="Calibri" w:cs="Calibri"/>
          <w:i/>
          <w:vertAlign w:val="superscript"/>
          <w:lang w:val="en-AU"/>
        </w:rPr>
        <w:t>A</w:t>
      </w:r>
      <w:r>
        <w:rPr>
          <w:rFonts w:ascii="Calibri" w:hAnsi="Calibri" w:cs="Calibri"/>
          <w:i/>
          <w:vertAlign w:val="superscript"/>
          <w:lang w:val="en-AU"/>
        </w:rPr>
        <w:t>,B</w:t>
      </w:r>
      <w:proofErr w:type="spellEnd"/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1E0B04D1" w14:textId="77777777" w:rsidR="00690A60" w:rsidRDefault="005F19FF" w:rsidP="00690A60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690A60" w:rsidRPr="00690A60">
        <w:rPr>
          <w:rFonts w:eastAsiaTheme="minorEastAsia" w:cstheme="minorBidi"/>
          <w:sz w:val="22"/>
          <w:szCs w:val="22"/>
          <w:lang w:val="en-AU" w:eastAsia="zh-CN"/>
        </w:rPr>
        <w:t xml:space="preserve"> </w:t>
      </w:r>
      <w:r w:rsidR="00690A60" w:rsidRPr="00690A60">
        <w:rPr>
          <w:rFonts w:ascii="Calibri" w:hAnsi="Calibri" w:cs="Calibri"/>
          <w:sz w:val="22"/>
          <w:szCs w:val="22"/>
          <w:lang w:val="en-AU"/>
        </w:rPr>
        <w:t>Centre for Future Materials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690A60" w:rsidRPr="00690A60">
        <w:rPr>
          <w:rFonts w:ascii="Calibri" w:hAnsi="Calibri" w:cs="Calibri"/>
          <w:sz w:val="22"/>
          <w:szCs w:val="22"/>
          <w:lang w:val="en-AU"/>
        </w:rPr>
        <w:t>University of Southern Queensland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690A60" w:rsidRPr="00690A60">
        <w:rPr>
          <w:rFonts w:ascii="Calibri" w:hAnsi="Calibri" w:cs="Calibri"/>
          <w:sz w:val="22"/>
          <w:szCs w:val="22"/>
          <w:lang w:val="en-AU"/>
        </w:rPr>
        <w:t>Springfield central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690A60">
        <w:rPr>
          <w:rFonts w:ascii="Calibri" w:hAnsi="Calibri" w:cs="Calibri"/>
          <w:sz w:val="22"/>
          <w:szCs w:val="22"/>
        </w:rPr>
        <w:t>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</w:p>
    <w:p w14:paraId="49EF8C2D" w14:textId="676F4D60" w:rsidR="00711813" w:rsidRDefault="005F19FF" w:rsidP="00690A60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690A60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="00690A60" w:rsidRPr="00690A60">
        <w:rPr>
          <w:rFonts w:ascii="Calibri" w:hAnsi="Calibri" w:cs="Calibri"/>
          <w:sz w:val="22"/>
          <w:szCs w:val="22"/>
          <w:lang w:val="en-AU"/>
        </w:rPr>
        <w:t>Materials Engineering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proofErr w:type="gramStart"/>
      <w:r w:rsidR="00690A60" w:rsidRPr="00690A60">
        <w:rPr>
          <w:rFonts w:ascii="Calibri" w:hAnsi="Calibri" w:cs="Calibri"/>
          <w:sz w:val="22"/>
          <w:szCs w:val="22"/>
          <w:lang w:val="en-AU"/>
        </w:rPr>
        <w:t>The</w:t>
      </w:r>
      <w:proofErr w:type="gramEnd"/>
      <w:r w:rsidR="00690A60" w:rsidRPr="00690A60">
        <w:rPr>
          <w:rFonts w:ascii="Calibri" w:hAnsi="Calibri" w:cs="Calibri"/>
          <w:sz w:val="22"/>
          <w:szCs w:val="22"/>
          <w:lang w:val="en-AU"/>
        </w:rPr>
        <w:t xml:space="preserve"> University of Queensland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690A60">
        <w:rPr>
          <w:rFonts w:ascii="Calibri" w:hAnsi="Calibri" w:cs="Calibri"/>
          <w:sz w:val="22"/>
          <w:szCs w:val="22"/>
          <w:lang w:val="en-AU"/>
        </w:rPr>
        <w:t>Brisbane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690A60">
        <w:rPr>
          <w:rFonts w:ascii="Calibri" w:hAnsi="Calibri" w:cs="Calibri"/>
          <w:sz w:val="22"/>
          <w:szCs w:val="22"/>
          <w:lang w:val="en-AU"/>
        </w:rPr>
        <w:t>Australia;</w:t>
      </w:r>
    </w:p>
    <w:p w14:paraId="58A6ABCF" w14:textId="7D9D81E8" w:rsidR="00690A60" w:rsidRPr="00690A60" w:rsidRDefault="00690A60" w:rsidP="00690A60">
      <w:pPr>
        <w:ind w:left="284" w:right="28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690A60">
        <w:rPr>
          <w:rFonts w:ascii="Calibri" w:hAnsi="Calibri" w:cs="Calibri"/>
          <w:sz w:val="22"/>
          <w:szCs w:val="22"/>
          <w:lang w:val="en-AU"/>
        </w:rPr>
        <w:t>Centre for Microscopy and Microanalysis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proofErr w:type="gramStart"/>
      <w:r w:rsidRPr="00690A60">
        <w:rPr>
          <w:rFonts w:ascii="Calibri" w:hAnsi="Calibri" w:cs="Calibri"/>
          <w:sz w:val="22"/>
          <w:szCs w:val="22"/>
          <w:lang w:val="en-AU"/>
        </w:rPr>
        <w:t>The</w:t>
      </w:r>
      <w:proofErr w:type="gramEnd"/>
      <w:r w:rsidRPr="00690A60">
        <w:rPr>
          <w:rFonts w:ascii="Calibri" w:hAnsi="Calibri" w:cs="Calibri"/>
          <w:sz w:val="22"/>
          <w:szCs w:val="22"/>
          <w:lang w:val="en-AU"/>
        </w:rPr>
        <w:t xml:space="preserve"> University of Queensland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>Brisbane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>Australia.</w:t>
      </w:r>
    </w:p>
    <w:p w14:paraId="05E17889" w14:textId="028F23A7" w:rsidR="00711813" w:rsidRPr="006B3866" w:rsidRDefault="00711813" w:rsidP="00D70BB3">
      <w:pPr>
        <w:pStyle w:val="Default"/>
        <w:ind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  <w:bookmarkStart w:id="0" w:name="_GoBack"/>
      <w:bookmarkEnd w:id="0"/>
    </w:p>
    <w:p w14:paraId="35D9DF9C" w14:textId="6E4ADD5E" w:rsidR="00711813" w:rsidRPr="00DB5DF4" w:rsidRDefault="00690A60" w:rsidP="009A4CFF">
      <w:pPr>
        <w:ind w:left="284" w:right="282"/>
        <w:jc w:val="both"/>
        <w:rPr>
          <w:rFonts w:ascii="Calibri" w:hAnsi="Calibri" w:cs="Calibri"/>
          <w:lang w:val="en-AU"/>
        </w:rPr>
      </w:pPr>
      <w:r w:rsidRPr="00DB5DF4">
        <w:rPr>
          <w:rFonts w:ascii="Calibri" w:hAnsi="Calibri" w:cs="Calibri"/>
          <w:b/>
          <w:bCs/>
          <w:lang w:val="en-AU"/>
        </w:rPr>
        <w:t xml:space="preserve">Abstract </w:t>
      </w:r>
    </w:p>
    <w:p w14:paraId="4C3929D0" w14:textId="446774DF" w:rsidR="00690A60" w:rsidRDefault="00690A60" w:rsidP="00690A60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690A60">
        <w:rPr>
          <w:rFonts w:ascii="Calibri" w:hAnsi="Calibri" w:cs="Calibri"/>
          <w:sz w:val="22"/>
          <w:szCs w:val="22"/>
          <w:lang w:val="en-AU"/>
        </w:rPr>
        <w:t>Thermoelectric materials, enabling the direct conversion between thermal and electrical energies, have been considered as energy-saving alternatives for sustainable power generation. Due to the intrinsic interdependence of thermoelectric parameters, including electrical conductivity, Seebeck coefficient, and electrical thermal conductivity, modulation of carrier concentration (</w:t>
      </w:r>
      <w:r w:rsidRPr="00690A60">
        <w:rPr>
          <w:rFonts w:ascii="Calibri" w:hAnsi="Calibri" w:cs="Calibri"/>
          <w:i/>
          <w:sz w:val="22"/>
          <w:szCs w:val="22"/>
          <w:lang w:val="en-AU"/>
        </w:rPr>
        <w:t>n</w:t>
      </w:r>
      <w:r w:rsidRPr="00690A60">
        <w:rPr>
          <w:rFonts w:ascii="Calibri" w:hAnsi="Calibri" w:cs="Calibri"/>
          <w:sz w:val="22"/>
          <w:szCs w:val="22"/>
          <w:lang w:val="en-AU"/>
        </w:rPr>
        <w:t xml:space="preserve">) is of vital significance to obtain thermoelectric materials with high energy conversion efficiency, which is gauged by a dimensionless figure of merit </w:t>
      </w:r>
      <w:proofErr w:type="spellStart"/>
      <w:r w:rsidRPr="00690A60">
        <w:rPr>
          <w:rFonts w:ascii="Calibri" w:hAnsi="Calibri" w:cs="Calibri"/>
          <w:i/>
          <w:sz w:val="22"/>
          <w:szCs w:val="22"/>
          <w:lang w:val="en-AU"/>
        </w:rPr>
        <w:t>zT</w:t>
      </w:r>
      <w:proofErr w:type="spellEnd"/>
      <w:r w:rsidRPr="00690A60">
        <w:rPr>
          <w:rFonts w:ascii="Calibri" w:hAnsi="Calibri" w:cs="Calibri"/>
          <w:sz w:val="22"/>
          <w:szCs w:val="22"/>
          <w:lang w:val="en-AU"/>
        </w:rPr>
        <w:t xml:space="preserve">. Here, we utilize the single parabolic band (SPB) model to predict the optimal </w:t>
      </w:r>
      <w:r w:rsidRPr="00690A60">
        <w:rPr>
          <w:rFonts w:ascii="Calibri" w:hAnsi="Calibri" w:cs="Calibri"/>
          <w:i/>
          <w:sz w:val="22"/>
          <w:szCs w:val="22"/>
          <w:lang w:val="en-AU"/>
        </w:rPr>
        <w:t>n</w:t>
      </w:r>
      <w:r w:rsidRPr="00690A60">
        <w:rPr>
          <w:rFonts w:ascii="Calibri" w:hAnsi="Calibri" w:cs="Calibri"/>
          <w:sz w:val="22"/>
          <w:szCs w:val="22"/>
          <w:lang w:val="en-AU"/>
        </w:rPr>
        <w:t xml:space="preserve"> (~ 1 × 10</w:t>
      </w:r>
      <w:r w:rsidRPr="00690A60">
        <w:rPr>
          <w:rFonts w:ascii="Calibri" w:hAnsi="Calibri" w:cs="Calibri"/>
          <w:sz w:val="22"/>
          <w:szCs w:val="22"/>
          <w:vertAlign w:val="superscript"/>
          <w:lang w:val="en-AU"/>
        </w:rPr>
        <w:t>19</w:t>
      </w:r>
      <w:r w:rsidRPr="00690A60">
        <w:rPr>
          <w:rFonts w:ascii="Calibri" w:hAnsi="Calibri" w:cs="Calibri"/>
          <w:sz w:val="22"/>
          <w:szCs w:val="22"/>
          <w:lang w:val="en-AU"/>
        </w:rPr>
        <w:t xml:space="preserve"> cm</w:t>
      </w:r>
      <w:r w:rsidRPr="00690A60">
        <w:rPr>
          <w:rFonts w:ascii="Calibri" w:hAnsi="Calibri" w:cs="Calibri"/>
          <w:sz w:val="22"/>
          <w:szCs w:val="22"/>
          <w:vertAlign w:val="superscript"/>
          <w:lang w:val="en-AU"/>
        </w:rPr>
        <w:t>-3</w:t>
      </w:r>
      <w:r w:rsidRPr="00690A60">
        <w:rPr>
          <w:rFonts w:ascii="Calibri" w:hAnsi="Calibri" w:cs="Calibri"/>
          <w:sz w:val="22"/>
          <w:szCs w:val="22"/>
          <w:lang w:val="en-AU"/>
        </w:rPr>
        <w:t>) of bismuth telluride (Bi</w:t>
      </w:r>
      <w:r w:rsidRPr="00690A60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690A60">
        <w:rPr>
          <w:rFonts w:ascii="Calibri" w:hAnsi="Calibri" w:cs="Calibri"/>
          <w:sz w:val="22"/>
          <w:szCs w:val="22"/>
          <w:lang w:val="en-AU"/>
        </w:rPr>
        <w:t>Te</w:t>
      </w:r>
      <w:r w:rsidRPr="00690A60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Pr="00690A60">
        <w:rPr>
          <w:rFonts w:ascii="Calibri" w:hAnsi="Calibri" w:cs="Calibri"/>
          <w:sz w:val="22"/>
          <w:szCs w:val="22"/>
          <w:lang w:val="en-AU"/>
        </w:rPr>
        <w:t xml:space="preserve">), and guide our experimental design. By reducing </w:t>
      </w:r>
      <w:r w:rsidRPr="00690A60">
        <w:rPr>
          <w:rFonts w:ascii="Calibri" w:hAnsi="Calibri" w:cs="Calibri"/>
          <w:i/>
          <w:sz w:val="22"/>
          <w:szCs w:val="22"/>
          <w:lang w:val="en-AU"/>
        </w:rPr>
        <w:t>n</w:t>
      </w:r>
      <w:r w:rsidRPr="00690A60">
        <w:rPr>
          <w:rFonts w:ascii="Calibri" w:hAnsi="Calibri" w:cs="Calibri"/>
          <w:sz w:val="22"/>
          <w:szCs w:val="22"/>
          <w:lang w:val="en-AU"/>
        </w:rPr>
        <w:t xml:space="preserve"> from ~ 1 ×10</w:t>
      </w:r>
      <w:r w:rsidRPr="00690A60">
        <w:rPr>
          <w:rFonts w:ascii="Calibri" w:hAnsi="Calibri" w:cs="Calibri"/>
          <w:sz w:val="22"/>
          <w:szCs w:val="22"/>
          <w:vertAlign w:val="superscript"/>
          <w:lang w:val="en-AU"/>
        </w:rPr>
        <w:t>20</w:t>
      </w:r>
      <w:r w:rsidRPr="00690A60">
        <w:rPr>
          <w:rFonts w:ascii="Calibri" w:hAnsi="Calibri" w:cs="Calibri"/>
          <w:sz w:val="22"/>
          <w:szCs w:val="22"/>
          <w:lang w:val="en-AU"/>
        </w:rPr>
        <w:t xml:space="preserve"> cm</w:t>
      </w:r>
      <w:r w:rsidRPr="00690A60">
        <w:rPr>
          <w:rFonts w:ascii="Calibri" w:hAnsi="Calibri" w:cs="Calibri"/>
          <w:sz w:val="22"/>
          <w:szCs w:val="22"/>
          <w:vertAlign w:val="superscript"/>
          <w:lang w:val="en-AU"/>
        </w:rPr>
        <w:t>-3</w:t>
      </w:r>
      <w:r w:rsidRPr="00690A60">
        <w:rPr>
          <w:rFonts w:ascii="Calibri" w:hAnsi="Calibri" w:cs="Calibri"/>
          <w:sz w:val="22"/>
          <w:szCs w:val="22"/>
          <w:lang w:val="en-AU"/>
        </w:rPr>
        <w:t xml:space="preserve"> in the intrinsic Bi</w:t>
      </w:r>
      <w:r w:rsidRPr="00690A60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690A60">
        <w:rPr>
          <w:rFonts w:ascii="Calibri" w:hAnsi="Calibri" w:cs="Calibri"/>
          <w:sz w:val="22"/>
          <w:szCs w:val="22"/>
          <w:lang w:val="en-AU"/>
        </w:rPr>
        <w:t>Te</w:t>
      </w:r>
      <w:r w:rsidRPr="00690A60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Pr="00690A60">
        <w:rPr>
          <w:rFonts w:ascii="Calibri" w:hAnsi="Calibri" w:cs="Calibri"/>
          <w:sz w:val="22"/>
          <w:szCs w:val="22"/>
          <w:lang w:val="en-AU"/>
        </w:rPr>
        <w:t xml:space="preserve"> to ~ 6 ×10</w:t>
      </w:r>
      <w:r w:rsidRPr="00690A60">
        <w:rPr>
          <w:rFonts w:ascii="Calibri" w:hAnsi="Calibri" w:cs="Calibri"/>
          <w:sz w:val="22"/>
          <w:szCs w:val="22"/>
          <w:vertAlign w:val="superscript"/>
          <w:lang w:val="en-AU"/>
        </w:rPr>
        <w:t>19</w:t>
      </w:r>
      <w:r w:rsidRPr="00690A60">
        <w:rPr>
          <w:rFonts w:ascii="Calibri" w:hAnsi="Calibri" w:cs="Calibri"/>
          <w:sz w:val="22"/>
          <w:szCs w:val="22"/>
          <w:lang w:val="en-AU"/>
        </w:rPr>
        <w:t xml:space="preserve"> cm</w:t>
      </w:r>
      <w:r w:rsidRPr="00690A60">
        <w:rPr>
          <w:rFonts w:ascii="Calibri" w:hAnsi="Calibri" w:cs="Calibri"/>
          <w:sz w:val="22"/>
          <w:szCs w:val="22"/>
          <w:vertAlign w:val="superscript"/>
          <w:lang w:val="en-AU"/>
        </w:rPr>
        <w:t>-3</w:t>
      </w:r>
      <w:r w:rsidRPr="00690A60">
        <w:rPr>
          <w:rFonts w:ascii="Calibri" w:hAnsi="Calibri" w:cs="Calibri"/>
          <w:sz w:val="22"/>
          <w:szCs w:val="22"/>
          <w:lang w:val="en-AU"/>
        </w:rPr>
        <w:t xml:space="preserve"> in the Cr introduced Bi</w:t>
      </w:r>
      <w:r w:rsidRPr="00690A60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690A60">
        <w:rPr>
          <w:rFonts w:ascii="Calibri" w:hAnsi="Calibri" w:cs="Calibri"/>
          <w:sz w:val="22"/>
          <w:szCs w:val="22"/>
          <w:lang w:val="en-AU"/>
        </w:rPr>
        <w:t>Te</w:t>
      </w:r>
      <w:r w:rsidRPr="00690A60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Pr="00690A60">
        <w:rPr>
          <w:rFonts w:ascii="Calibri" w:hAnsi="Calibri" w:cs="Calibri"/>
          <w:sz w:val="22"/>
          <w:szCs w:val="22"/>
          <w:lang w:val="en-AU"/>
        </w:rPr>
        <w:t xml:space="preserve">, </w:t>
      </w:r>
      <w:proofErr w:type="spellStart"/>
      <w:r w:rsidRPr="00690A60">
        <w:rPr>
          <w:rFonts w:ascii="Calibri" w:hAnsi="Calibri" w:cs="Calibri"/>
          <w:i/>
          <w:sz w:val="22"/>
          <w:szCs w:val="22"/>
          <w:lang w:val="en-AU"/>
        </w:rPr>
        <w:t>zT</w:t>
      </w:r>
      <w:proofErr w:type="spellEnd"/>
      <w:r w:rsidRPr="00690A60">
        <w:rPr>
          <w:rFonts w:ascii="Calibri" w:hAnsi="Calibri" w:cs="Calibri"/>
          <w:sz w:val="22"/>
          <w:szCs w:val="22"/>
          <w:lang w:val="en-AU"/>
        </w:rPr>
        <w:t xml:space="preserve"> was effectively improved from 0.7 to 1.08 at 470 K, and high average </w:t>
      </w:r>
      <w:proofErr w:type="spellStart"/>
      <w:r w:rsidRPr="00690A60">
        <w:rPr>
          <w:rFonts w:ascii="Calibri" w:hAnsi="Calibri" w:cs="Calibri"/>
          <w:i/>
          <w:sz w:val="22"/>
          <w:szCs w:val="22"/>
          <w:lang w:val="en-AU"/>
        </w:rPr>
        <w:t>zT</w:t>
      </w:r>
      <w:proofErr w:type="spellEnd"/>
      <w:r w:rsidRPr="00690A60">
        <w:rPr>
          <w:rFonts w:ascii="Calibri" w:hAnsi="Calibri" w:cs="Calibri"/>
          <w:sz w:val="22"/>
          <w:szCs w:val="22"/>
          <w:lang w:val="en-AU"/>
        </w:rPr>
        <w:t xml:space="preserve"> close to 1 was achieved from 300 K to 470 K. </w:t>
      </w:r>
    </w:p>
    <w:p w14:paraId="0A472F29" w14:textId="361729F1" w:rsidR="00DB5DF4" w:rsidRDefault="00DB5DF4" w:rsidP="00DB5DF4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 w:rsidRPr="00DB5DF4">
        <w:rPr>
          <w:rFonts w:ascii="Calibri" w:hAnsi="Calibri" w:cs="Calibri"/>
          <w:noProof/>
          <w:sz w:val="22"/>
          <w:szCs w:val="22"/>
          <w:lang w:val="en-AU" w:eastAsia="zh-CN"/>
        </w:rPr>
        <w:drawing>
          <wp:inline distT="0" distB="0" distL="0" distR="0" wp14:anchorId="4365A347" wp14:editId="27EC1595">
            <wp:extent cx="3448050" cy="3104515"/>
            <wp:effectExtent l="0" t="0" r="0" b="635"/>
            <wp:docPr id="1" name="Picture 1" descr="C:\Users\uqywan68\Desktop\Pictur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qywan68\Desktop\Picture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2" t="9265" r="10933" b="1872"/>
                    <a:stretch/>
                  </pic:blipFill>
                  <pic:spPr bwMode="auto">
                    <a:xfrm>
                      <a:off x="0" y="0"/>
                      <a:ext cx="3455246" cy="311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0CDA1" w14:textId="2DBE12EF" w:rsidR="00DB5DF4" w:rsidRPr="00690A60" w:rsidRDefault="00DB5DF4" w:rsidP="00DB5DF4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DB5DF4">
        <w:rPr>
          <w:rFonts w:ascii="Calibri" w:hAnsi="Calibri" w:cs="Calibri"/>
          <w:b/>
          <w:sz w:val="22"/>
          <w:szCs w:val="22"/>
          <w:lang w:val="en-AU"/>
        </w:rPr>
        <w:t>Figure 1.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DB5DF4">
        <w:rPr>
          <w:rFonts w:ascii="Calibri" w:hAnsi="Calibri" w:cs="Calibri"/>
          <w:sz w:val="22"/>
          <w:szCs w:val="22"/>
          <w:lang w:val="de-DE"/>
        </w:rPr>
        <w:t xml:space="preserve">Calculation results of SPB model showing the effective </w:t>
      </w:r>
      <w:r w:rsidRPr="00DB5DF4">
        <w:rPr>
          <w:rFonts w:ascii="Calibri" w:hAnsi="Calibri" w:cs="Calibri"/>
          <w:i/>
          <w:sz w:val="22"/>
          <w:szCs w:val="22"/>
          <w:lang w:val="de-DE"/>
        </w:rPr>
        <w:t>zT</w:t>
      </w:r>
      <w:r w:rsidRPr="00DB5DF4">
        <w:rPr>
          <w:rFonts w:ascii="Calibri" w:hAnsi="Calibri" w:cs="Calibri"/>
          <w:sz w:val="22"/>
          <w:szCs w:val="22"/>
          <w:lang w:val="de-DE"/>
        </w:rPr>
        <w:t xml:space="preserve"> enhancement with reduced </w:t>
      </w:r>
      <w:r w:rsidRPr="00DB5DF4">
        <w:rPr>
          <w:rFonts w:ascii="Calibri" w:hAnsi="Calibri" w:cs="Calibri"/>
          <w:i/>
          <w:sz w:val="22"/>
          <w:szCs w:val="22"/>
          <w:lang w:val="de-DE"/>
        </w:rPr>
        <w:t>n</w:t>
      </w:r>
      <w:r w:rsidRPr="00DB5DF4">
        <w:rPr>
          <w:rFonts w:ascii="Calibri" w:hAnsi="Calibri" w:cs="Calibri"/>
          <w:sz w:val="22"/>
          <w:szCs w:val="22"/>
          <w:lang w:val="de-DE"/>
        </w:rPr>
        <w:t>.</w:t>
      </w:r>
    </w:p>
    <w:p w14:paraId="766DA9A5" w14:textId="48577B55" w:rsidR="004E5450" w:rsidRDefault="004E5450" w:rsidP="00D70BB3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51C36D32" w14:textId="68DCEB86" w:rsidR="00D70BB3" w:rsidRPr="00D70BB3" w:rsidRDefault="00D70BB3" w:rsidP="00DB5DF4">
      <w:pPr>
        <w:ind w:left="284" w:right="284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D70BB3">
        <w:rPr>
          <w:rFonts w:asciiTheme="minorHAnsi" w:hAnsiTheme="minorHAnsi" w:cstheme="minorHAnsi"/>
          <w:sz w:val="22"/>
          <w:szCs w:val="22"/>
          <w:lang w:val="en-AU"/>
        </w:rPr>
        <w:t xml:space="preserve">1. </w:t>
      </w:r>
      <w:r w:rsidRPr="00D70BB3">
        <w:rPr>
          <w:rFonts w:asciiTheme="minorHAnsi" w:hAnsiTheme="minorHAnsi" w:cstheme="minorHAnsi"/>
          <w:sz w:val="22"/>
          <w:szCs w:val="22"/>
          <w:lang w:val="en-AU"/>
        </w:rPr>
        <w:fldChar w:fldCharType="begin"/>
      </w:r>
      <w:r w:rsidRPr="00D70BB3">
        <w:rPr>
          <w:rFonts w:asciiTheme="minorHAnsi" w:hAnsiTheme="minorHAnsi" w:cstheme="minorHAnsi"/>
          <w:sz w:val="22"/>
          <w:szCs w:val="22"/>
          <w:lang w:val="en-AU"/>
        </w:rPr>
        <w:instrText xml:space="preserve"> ADDIN EN.REFLIST </w:instrText>
      </w:r>
      <w:r w:rsidRPr="00D70BB3">
        <w:rPr>
          <w:rFonts w:asciiTheme="minorHAnsi" w:hAnsiTheme="minorHAnsi" w:cstheme="minorHAnsi"/>
          <w:sz w:val="22"/>
          <w:szCs w:val="22"/>
          <w:lang w:val="en-AU"/>
        </w:rPr>
        <w:fldChar w:fldCharType="separate"/>
      </w:r>
      <w:bookmarkStart w:id="1" w:name="_ENREF_1"/>
      <w:r w:rsidRPr="00D70BB3">
        <w:rPr>
          <w:rFonts w:asciiTheme="minorHAnsi" w:hAnsiTheme="minorHAnsi" w:cstheme="minorHAnsi"/>
          <w:sz w:val="22"/>
          <w:szCs w:val="22"/>
          <w:lang w:val="en-AU"/>
        </w:rPr>
        <w:t>Wang, Y.; Liu, W.-D.; Gao, H.; Wang, L.-J.; Li, M.; Shi, X.-L.; Hong, M.; Wang, H.; Zou, J.; Chen, Z.-G.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(2019).</w:t>
      </w:r>
      <w:r w:rsidRPr="00D70BB3">
        <w:rPr>
          <w:rFonts w:asciiTheme="minorHAnsi" w:hAnsiTheme="minorHAnsi" w:cstheme="minorHAnsi"/>
          <w:sz w:val="22"/>
          <w:szCs w:val="22"/>
          <w:lang w:val="en-AU"/>
        </w:rPr>
        <w:t xml:space="preserve"> High Porosity in Nanostructured </w:t>
      </w:r>
      <w:r w:rsidRPr="00D70BB3">
        <w:rPr>
          <w:rFonts w:asciiTheme="minorHAnsi" w:hAnsiTheme="minorHAnsi" w:cstheme="minorHAnsi"/>
          <w:i/>
          <w:sz w:val="22"/>
          <w:szCs w:val="22"/>
          <w:lang w:val="en-AU"/>
        </w:rPr>
        <w:t>n</w:t>
      </w:r>
      <w:r w:rsidRPr="00D70BB3">
        <w:rPr>
          <w:rFonts w:asciiTheme="minorHAnsi" w:hAnsiTheme="minorHAnsi" w:cstheme="minorHAnsi"/>
          <w:sz w:val="22"/>
          <w:szCs w:val="22"/>
          <w:lang w:val="en-AU"/>
        </w:rPr>
        <w:t>-Type Bi</w:t>
      </w:r>
      <w:r w:rsidRPr="00D70BB3">
        <w:rPr>
          <w:rFonts w:asciiTheme="minorHAnsi" w:hAnsiTheme="minorHAnsi" w:cstheme="minorHAnsi"/>
          <w:sz w:val="22"/>
          <w:szCs w:val="22"/>
          <w:vertAlign w:val="subscript"/>
          <w:lang w:val="en-AU"/>
        </w:rPr>
        <w:t>2</w:t>
      </w:r>
      <w:r w:rsidRPr="00D70BB3">
        <w:rPr>
          <w:rFonts w:asciiTheme="minorHAnsi" w:hAnsiTheme="minorHAnsi" w:cstheme="minorHAnsi"/>
          <w:sz w:val="22"/>
          <w:szCs w:val="22"/>
          <w:lang w:val="en-AU"/>
        </w:rPr>
        <w:t>Te</w:t>
      </w:r>
      <w:r w:rsidRPr="00D70BB3">
        <w:rPr>
          <w:rFonts w:asciiTheme="minorHAnsi" w:hAnsiTheme="minorHAnsi" w:cstheme="minorHAnsi"/>
          <w:sz w:val="22"/>
          <w:szCs w:val="22"/>
          <w:vertAlign w:val="subscript"/>
          <w:lang w:val="en-AU"/>
        </w:rPr>
        <w:t>3</w:t>
      </w:r>
      <w:r w:rsidRPr="00D70BB3">
        <w:rPr>
          <w:rFonts w:asciiTheme="minorHAnsi" w:hAnsiTheme="minorHAnsi" w:cstheme="minorHAnsi"/>
          <w:sz w:val="22"/>
          <w:szCs w:val="22"/>
          <w:lang w:val="en-AU"/>
        </w:rPr>
        <w:t xml:space="preserve"> Obtaining Ultralow Lattice Thermal Conductivity. ACS Appl. Mater. Interfaces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Pr="00D70BB3">
        <w:rPr>
          <w:rFonts w:asciiTheme="minorHAnsi" w:hAnsiTheme="minorHAnsi" w:cstheme="minorHAnsi"/>
          <w:sz w:val="22"/>
          <w:szCs w:val="22"/>
          <w:lang w:val="en-AU"/>
        </w:rPr>
        <w:t xml:space="preserve"> 11, 31237-31244.</w:t>
      </w:r>
      <w:bookmarkEnd w:id="1"/>
    </w:p>
    <w:p w14:paraId="5140F785" w14:textId="0A1AF8F8" w:rsidR="00D70BB3" w:rsidRPr="00D70BB3" w:rsidRDefault="00D70BB3" w:rsidP="00DB5DF4">
      <w:pPr>
        <w:ind w:left="284" w:right="284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D70BB3">
        <w:rPr>
          <w:rFonts w:asciiTheme="minorHAnsi" w:hAnsiTheme="minorHAnsi" w:cstheme="minorHAnsi"/>
          <w:sz w:val="22"/>
          <w:szCs w:val="22"/>
        </w:rPr>
        <w:fldChar w:fldCharType="end"/>
      </w:r>
      <w:r w:rsidRPr="00D70BB3">
        <w:rPr>
          <w:rFonts w:asciiTheme="minorHAnsi" w:hAnsiTheme="minorHAnsi" w:cstheme="minorHAnsi"/>
          <w:sz w:val="22"/>
          <w:szCs w:val="22"/>
          <w:lang w:val="en-AU"/>
        </w:rPr>
        <w:t xml:space="preserve">2. Wang, Y.; Yang, L.; Shi, X.-L.; Shi, X.; Chen, L.; </w:t>
      </w:r>
      <w:proofErr w:type="spellStart"/>
      <w:r w:rsidRPr="00D70BB3">
        <w:rPr>
          <w:rFonts w:asciiTheme="minorHAnsi" w:hAnsiTheme="minorHAnsi" w:cstheme="minorHAnsi"/>
          <w:sz w:val="22"/>
          <w:szCs w:val="22"/>
          <w:lang w:val="en-AU"/>
        </w:rPr>
        <w:t>Dargusch</w:t>
      </w:r>
      <w:proofErr w:type="spellEnd"/>
      <w:r w:rsidRPr="00D70BB3">
        <w:rPr>
          <w:rFonts w:asciiTheme="minorHAnsi" w:hAnsiTheme="minorHAnsi" w:cstheme="minorHAnsi"/>
          <w:sz w:val="22"/>
          <w:szCs w:val="22"/>
          <w:lang w:val="en-AU"/>
        </w:rPr>
        <w:t>, M.; Zou, J.; Chen, Z.-G.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(2019)</w:t>
      </w:r>
      <w:r w:rsidRPr="00D70BB3">
        <w:rPr>
          <w:rFonts w:asciiTheme="minorHAnsi" w:hAnsiTheme="minorHAnsi" w:cstheme="minorHAnsi"/>
          <w:sz w:val="22"/>
          <w:szCs w:val="22"/>
          <w:lang w:val="en-AU"/>
        </w:rPr>
        <w:t xml:space="preserve"> Flexible Thermoelectric Materials and Generators: Challenges and Innovations. Adv. Mater.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Pr="00D70BB3">
        <w:rPr>
          <w:rFonts w:asciiTheme="minorHAnsi" w:hAnsiTheme="minorHAnsi" w:cstheme="minorHAnsi"/>
          <w:sz w:val="22"/>
          <w:szCs w:val="22"/>
          <w:lang w:val="en-AU"/>
        </w:rPr>
        <w:t xml:space="preserve"> 31, 1807916.</w:t>
      </w:r>
    </w:p>
    <w:p w14:paraId="19A0A76F" w14:textId="77777777" w:rsidR="00F97620" w:rsidRPr="006B3866" w:rsidRDefault="00F9762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A6D19"/>
    <w:rsid w:val="001A21AD"/>
    <w:rsid w:val="002078AD"/>
    <w:rsid w:val="002226BB"/>
    <w:rsid w:val="00225236"/>
    <w:rsid w:val="002272B0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90A60"/>
    <w:rsid w:val="006B3866"/>
    <w:rsid w:val="006C556B"/>
    <w:rsid w:val="00711813"/>
    <w:rsid w:val="00724E3C"/>
    <w:rsid w:val="00743C46"/>
    <w:rsid w:val="008909C9"/>
    <w:rsid w:val="00947B77"/>
    <w:rsid w:val="00997C34"/>
    <w:rsid w:val="009A4CFF"/>
    <w:rsid w:val="009B2641"/>
    <w:rsid w:val="009E2228"/>
    <w:rsid w:val="009F06D6"/>
    <w:rsid w:val="00A266B4"/>
    <w:rsid w:val="00BC5FCC"/>
    <w:rsid w:val="00C60A71"/>
    <w:rsid w:val="00CC165A"/>
    <w:rsid w:val="00D55F3B"/>
    <w:rsid w:val="00D70BB3"/>
    <w:rsid w:val="00DA2731"/>
    <w:rsid w:val="00DB4497"/>
    <w:rsid w:val="00DB5DF4"/>
    <w:rsid w:val="00DC0ABB"/>
    <w:rsid w:val="00DF1C8E"/>
    <w:rsid w:val="00ED1052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1947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Yuan Wang</cp:lastModifiedBy>
  <cp:revision>4</cp:revision>
  <cp:lastPrinted>2013-06-13T05:15:00Z</cp:lastPrinted>
  <dcterms:created xsi:type="dcterms:W3CDTF">2019-08-31T04:49:00Z</dcterms:created>
  <dcterms:modified xsi:type="dcterms:W3CDTF">2019-08-31T05:10:00Z</dcterms:modified>
</cp:coreProperties>
</file>