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1AEA" w14:textId="28105254" w:rsidR="00711813" w:rsidRPr="004E5450" w:rsidRDefault="00FD03EB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Exploring and targeting therapy-induced cellular senescence in medulloblastoma</w:t>
      </w:r>
    </w:p>
    <w:p w14:paraId="2A954579" w14:textId="3A95BEB4" w:rsidR="00711813" w:rsidRPr="004E5450" w:rsidRDefault="00FD03EB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Charmaine Chng</w:t>
      </w:r>
      <w:r w:rsidR="00711813" w:rsidRPr="00FD03E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FD03EB">
        <w:rPr>
          <w:rFonts w:ascii="Calibri" w:hAnsi="Calibri" w:cs="Calibri"/>
          <w:sz w:val="20"/>
          <w:szCs w:val="20"/>
          <w:lang w:val="en-AU"/>
        </w:rPr>
        <w:t>Kaveh Baghaei</w:t>
      </w:r>
      <w:r w:rsidR="00711813" w:rsidRPr="00FD03E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</w:t>
      </w:r>
      <w:r w:rsidRPr="00FD03EB">
        <w:rPr>
          <w:rFonts w:ascii="Calibri" w:hAnsi="Calibri" w:cs="Calibri"/>
          <w:sz w:val="20"/>
          <w:szCs w:val="20"/>
          <w:lang w:val="en-AU"/>
        </w:rPr>
        <w:t xml:space="preserve"> Jason E. Cain</w:t>
      </w:r>
      <w:r w:rsidRPr="00FD03EB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FD03EB">
        <w:rPr>
          <w:rFonts w:ascii="Calibri" w:hAnsi="Calibri" w:cs="Calibri"/>
          <w:sz w:val="20"/>
          <w:szCs w:val="20"/>
          <w:lang w:val="en-AU"/>
        </w:rPr>
        <w:t>, Iman Azimi</w:t>
      </w:r>
      <w:r w:rsidRPr="00FD03E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FD03EB">
        <w:rPr>
          <w:rFonts w:ascii="Calibri" w:hAnsi="Calibri" w:cs="Calibri"/>
          <w:sz w:val="20"/>
          <w:szCs w:val="20"/>
          <w:lang w:val="en-AU"/>
        </w:rPr>
        <w:t>.</w:t>
      </w:r>
      <w:r>
        <w:t xml:space="preserve"> </w:t>
      </w:r>
      <w:r w:rsidRPr="00FD03EB">
        <w:rPr>
          <w:rFonts w:ascii="Calibri" w:hAnsi="Calibri" w:cs="Calibri"/>
          <w:sz w:val="20"/>
          <w:szCs w:val="20"/>
        </w:rPr>
        <w:t xml:space="preserve">Dept of </w:t>
      </w:r>
      <w:proofErr w:type="spellStart"/>
      <w:r w:rsidRPr="00FD03EB">
        <w:rPr>
          <w:rFonts w:ascii="Calibri" w:hAnsi="Calibri" w:cs="Calibri"/>
          <w:sz w:val="20"/>
          <w:szCs w:val="20"/>
        </w:rPr>
        <w:t>Pharmacol</w:t>
      </w:r>
      <w:proofErr w:type="spellEnd"/>
      <w:r w:rsidRPr="00FD03EB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Monash University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Clayton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VIC, Australia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; </w:t>
      </w:r>
      <w:r w:rsidRPr="00FD03EB">
        <w:rPr>
          <w:rFonts w:ascii="Calibri" w:hAnsi="Calibri" w:cs="Calibri"/>
          <w:sz w:val="20"/>
          <w:szCs w:val="20"/>
        </w:rPr>
        <w:t>Centre for Cancer Research</w:t>
      </w:r>
      <w:r w:rsidR="00711813" w:rsidRPr="00FD03EB">
        <w:rPr>
          <w:rFonts w:ascii="Calibri" w:hAnsi="Calibri" w:cs="Calibri"/>
          <w:sz w:val="20"/>
          <w:szCs w:val="20"/>
        </w:rPr>
        <w:t xml:space="preserve">, </w:t>
      </w:r>
      <w:r w:rsidRPr="00FD03EB">
        <w:rPr>
          <w:rFonts w:ascii="Calibri" w:hAnsi="Calibri" w:cs="Calibri"/>
          <w:sz w:val="20"/>
          <w:szCs w:val="20"/>
        </w:rPr>
        <w:t>Hudson Institute of Medical Research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Clayton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VIC</w:t>
      </w:r>
      <w:r w:rsidR="00EF12F3" w:rsidRPr="00EF12F3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Australia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3B96EADB" w14:textId="5F00D25C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643D93F7" w14:textId="6968D2B6" w:rsidR="00FD03EB" w:rsidRPr="00FD03EB" w:rsidRDefault="00711813" w:rsidP="00FD03E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D03EB" w:rsidRPr="00FD03EB">
        <w:rPr>
          <w:rFonts w:ascii="Calibri" w:hAnsi="Calibri" w:cs="Calibri"/>
          <w:sz w:val="20"/>
          <w:szCs w:val="20"/>
          <w:lang w:val="en-AU"/>
        </w:rPr>
        <w:t xml:space="preserve">Medulloblastoma is the most common malignant brain tumour in children, accounting for ~20% of paediatric brain cancers. Although chemotherapy is essential for treatment, its toxicity is associated </w:t>
      </w:r>
      <w:r w:rsidR="00FD03EB" w:rsidRPr="00FD03EB">
        <w:rPr>
          <w:rFonts w:ascii="Calibri" w:hAnsi="Calibri" w:cs="Calibri"/>
          <w:sz w:val="20"/>
          <w:szCs w:val="20"/>
          <w:lang w:val="en-AU"/>
        </w:rPr>
        <w:t>with</w:t>
      </w:r>
      <w:r w:rsidR="00FD03EB" w:rsidRPr="00FD03EB">
        <w:rPr>
          <w:rFonts w:ascii="Calibri" w:hAnsi="Calibri" w:cs="Calibri"/>
          <w:sz w:val="20"/>
          <w:szCs w:val="20"/>
          <w:lang w:val="en-AU"/>
        </w:rPr>
        <w:t xml:space="preserve"> long-term morbidity and aggressive tumour recurrences. Emerging evidence implicates cellular senescence, a growth-arrest state triggered by DNA damage, in therapy resistance and disease relapse across multiple cancers. However, the role of therapy-induced senescence (TIS) in medulloblastoma remains poorly understood. If present, targeting senescent tumour cells may represent a strategy to enhance treatment outcomes. This study investigated whether standard-of-care medulloblastoma therapies induce cellular senescence in preclinical medulloblastoma models.</w:t>
      </w:r>
    </w:p>
    <w:p w14:paraId="6773DDE2" w14:textId="44E397A8" w:rsidR="00711813" w:rsidRPr="004E5450" w:rsidRDefault="00711813" w:rsidP="00FD03E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FD03EB" w:rsidRPr="00FD03EB">
        <w:rPr>
          <w:rFonts w:ascii="Calibri" w:hAnsi="Calibri" w:cs="Calibri"/>
          <w:sz w:val="20"/>
          <w:szCs w:val="20"/>
          <w:lang w:val="en-AU"/>
        </w:rPr>
        <w:t xml:space="preserve">Four cell lines from molecular Group 3 (D341, MED-411) and Group 4 (CHLA-01, CHLA-01R) were treated with varying concentrations of vincristine or cisplatin for 24 h, followed by assessment of cell viability and analysis of senescence-associated biomarkers. Nuclear </w:t>
      </w:r>
      <w:r w:rsidR="00FD03EB">
        <w:rPr>
          <w:rFonts w:ascii="Calibri" w:hAnsi="Calibri" w:cs="Calibri"/>
          <w:sz w:val="20"/>
          <w:szCs w:val="20"/>
          <w:lang w:val="en-AU"/>
        </w:rPr>
        <w:t>and</w:t>
      </w:r>
      <w:r w:rsidR="00FD03EB" w:rsidRPr="00FD03EB">
        <w:rPr>
          <w:rFonts w:ascii="Calibri" w:hAnsi="Calibri" w:cs="Calibri"/>
          <w:sz w:val="20"/>
          <w:szCs w:val="20"/>
          <w:lang w:val="en-AU"/>
        </w:rPr>
        <w:t xml:space="preserve"> cell area, SA-β-galactosidase activity, p21, p16, and EdU incorporation were assessed 7 and 14 days post-treatment using single-cell high-content fluorescence imaging. Senolytic agent ABT-263 was subsequently evaluated for its ability to enhance cell elimination following vincristine exposure.</w:t>
      </w:r>
    </w:p>
    <w:p w14:paraId="5BA784D6" w14:textId="77777777" w:rsidR="00FD03EB" w:rsidRPr="00FD03EB" w:rsidRDefault="00711813" w:rsidP="00FD03E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D03EB" w:rsidRPr="00FD03EB">
        <w:rPr>
          <w:rFonts w:ascii="Calibri" w:hAnsi="Calibri" w:cs="Calibri"/>
          <w:sz w:val="20"/>
          <w:szCs w:val="20"/>
          <w:lang w:val="en-AU"/>
        </w:rPr>
        <w:t xml:space="preserve">Both chemotherapies induced a senescence-like phenotype characterised by marked temporal heterogeneity, with increased p16 and/or p21 expression and a concentration-dependent reduction in EdU incorporation across all cell lines. Classical morphological senescence markers were more variable, with a significant increase in nuclear and cell </w:t>
      </w:r>
      <w:proofErr w:type="gramStart"/>
      <w:r w:rsidR="00FD03EB" w:rsidRPr="00FD03EB">
        <w:rPr>
          <w:rFonts w:ascii="Calibri" w:hAnsi="Calibri" w:cs="Calibri"/>
          <w:sz w:val="20"/>
          <w:szCs w:val="20"/>
          <w:lang w:val="en-AU"/>
        </w:rPr>
        <w:t>area</w:t>
      </w:r>
      <w:proofErr w:type="gramEnd"/>
      <w:r w:rsidR="00FD03EB" w:rsidRPr="00FD03EB">
        <w:rPr>
          <w:rFonts w:ascii="Calibri" w:hAnsi="Calibri" w:cs="Calibri"/>
          <w:sz w:val="20"/>
          <w:szCs w:val="20"/>
          <w:lang w:val="en-AU"/>
        </w:rPr>
        <w:t xml:space="preserve"> observed only in D341. Notably, combined treatment with vincristine and senolytic ABT-263 synergistically reduced D341 viability. </w:t>
      </w:r>
    </w:p>
    <w:p w14:paraId="77D02DCF" w14:textId="6A3DEA1C" w:rsidR="00F97620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D03EB" w:rsidRPr="00FD03EB">
        <w:rPr>
          <w:rFonts w:ascii="Calibri" w:hAnsi="Calibri" w:cs="Calibri"/>
          <w:sz w:val="20"/>
          <w:szCs w:val="20"/>
          <w:lang w:val="en-AU"/>
        </w:rPr>
        <w:t>These findings suggest that vincristine and cisplatin can induce a senescence-like state in medulloblastoma cells and provide preliminary support for exploring senolytic–chemotherapy combinations as a strategy to enhance treatment responses. Ongoing studies will further explore various medulloblastoma-specific treatments and patient-derived models to define the molecular characteristics and therapeutic relevance of TIS in medulloblastoma using transcriptomic profiling, organoids, and orthotopic mouse models, alongside evaluation of senotherapeutic approaches.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675C8"/>
    <w:rsid w:val="000A4FA6"/>
    <w:rsid w:val="002272B0"/>
    <w:rsid w:val="00300B92"/>
    <w:rsid w:val="003238D9"/>
    <w:rsid w:val="00387491"/>
    <w:rsid w:val="00444224"/>
    <w:rsid w:val="00483B05"/>
    <w:rsid w:val="004E28B9"/>
    <w:rsid w:val="004E50FC"/>
    <w:rsid w:val="004E5450"/>
    <w:rsid w:val="0059609A"/>
    <w:rsid w:val="00597659"/>
    <w:rsid w:val="005D1700"/>
    <w:rsid w:val="005E48A2"/>
    <w:rsid w:val="005E62BE"/>
    <w:rsid w:val="00711813"/>
    <w:rsid w:val="00724E3C"/>
    <w:rsid w:val="00743C46"/>
    <w:rsid w:val="00760B17"/>
    <w:rsid w:val="00885303"/>
    <w:rsid w:val="008909C9"/>
    <w:rsid w:val="00947B77"/>
    <w:rsid w:val="009E2228"/>
    <w:rsid w:val="009F06D6"/>
    <w:rsid w:val="00A266B4"/>
    <w:rsid w:val="00A71DEF"/>
    <w:rsid w:val="00AE2DA6"/>
    <w:rsid w:val="00BC5BE5"/>
    <w:rsid w:val="00BC5FCC"/>
    <w:rsid w:val="00C132EC"/>
    <w:rsid w:val="00C60A71"/>
    <w:rsid w:val="00D55F3B"/>
    <w:rsid w:val="00DA2731"/>
    <w:rsid w:val="00EF12F3"/>
    <w:rsid w:val="00F02477"/>
    <w:rsid w:val="00F374FD"/>
    <w:rsid w:val="00F90F73"/>
    <w:rsid w:val="00F97620"/>
    <w:rsid w:val="00FD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A6320"/>
  <w15:chartTrackingRefBased/>
  <w15:docId w15:val="{F9C1EEC3-BF5C-43DD-B7AC-CC528267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ff2265-8b20-4929-8d44-f309d51b33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4E3B8BEBEA04094126A6AE40BCD5C" ma:contentTypeVersion="12" ma:contentTypeDescription="Create a new document." ma:contentTypeScope="" ma:versionID="94cbd1797d91f4fc9dad7e0df23524de">
  <xsd:schema xmlns:xsd="http://www.w3.org/2001/XMLSchema" xmlns:xs="http://www.w3.org/2001/XMLSchema" xmlns:p="http://schemas.microsoft.com/office/2006/metadata/properties" xmlns:ns3="f0ff2265-8b20-4929-8d44-f309d51b33cf" xmlns:ns4="6f6f882a-b186-42cc-9c8d-87ab58afde6d" targetNamespace="http://schemas.microsoft.com/office/2006/metadata/properties" ma:root="true" ma:fieldsID="3272e98ad29511940bcbb68ddc19f3ab" ns3:_="" ns4:_="">
    <xsd:import namespace="f0ff2265-8b20-4929-8d44-f309d51b33cf"/>
    <xsd:import namespace="6f6f882a-b186-42cc-9c8d-87ab58afde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f2265-8b20-4929-8d44-f309d51b3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882a-b186-42cc-9c8d-87ab58afd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6F013D-6594-4BE3-A77C-092B3560E31E}">
  <ds:schemaRefs>
    <ds:schemaRef ds:uri="http://schemas.microsoft.com/office/2006/metadata/properties"/>
    <ds:schemaRef ds:uri="http://schemas.microsoft.com/office/infopath/2007/PartnerControls"/>
    <ds:schemaRef ds:uri="f0ff2265-8b20-4929-8d44-f309d51b33cf"/>
  </ds:schemaRefs>
</ds:datastoreItem>
</file>

<file path=customXml/itemProps3.xml><?xml version="1.0" encoding="utf-8"?>
<ds:datastoreItem xmlns:ds="http://schemas.openxmlformats.org/officeDocument/2006/customXml" ds:itemID="{CF42AA55-0A03-4305-BDB0-037C51FFC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f2265-8b20-4929-8d44-f309d51b33cf"/>
    <ds:schemaRef ds:uri="6f6f882a-b186-42cc-9c8d-87ab58afd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charmaine chng</cp:lastModifiedBy>
  <cp:revision>2</cp:revision>
  <cp:lastPrinted>2013-06-13T05:15:00Z</cp:lastPrinted>
  <dcterms:created xsi:type="dcterms:W3CDTF">2026-02-13T00:15:00Z</dcterms:created>
  <dcterms:modified xsi:type="dcterms:W3CDTF">2026-02-13T00:15:00Z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0x010100DBE4E3B8BEBEA04094126A6AE40BCD5C</vt:lpwstr>
  </property>
</Properties>
</file>