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B53A6" w14:textId="77777777" w:rsidR="00E94FEB" w:rsidRDefault="00E94FEB" w:rsidP="00E94FEB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B56388">
        <w:rPr>
          <w:rFonts w:ascii="Calibri" w:hAnsi="Calibri" w:cs="Calibri"/>
          <w:b/>
          <w:bCs/>
          <w:sz w:val="20"/>
          <w:szCs w:val="20"/>
        </w:rPr>
        <w:t xml:space="preserve">Genotype informed ​Bayesian dosing of tacrolimus in </w:t>
      </w:r>
      <w:proofErr w:type="spellStart"/>
      <w:r w:rsidRPr="00B56388">
        <w:rPr>
          <w:rFonts w:ascii="Calibri" w:hAnsi="Calibri" w:cs="Calibri"/>
          <w:b/>
          <w:bCs/>
          <w:sz w:val="20"/>
          <w:szCs w:val="20"/>
        </w:rPr>
        <w:t>paediatric</w:t>
      </w:r>
      <w:proofErr w:type="spellEnd"/>
      <w:r w:rsidRPr="00B56388">
        <w:rPr>
          <w:rFonts w:ascii="Calibri" w:hAnsi="Calibri" w:cs="Calibri"/>
          <w:b/>
          <w:bCs/>
          <w:sz w:val="20"/>
          <w:szCs w:val="20"/>
        </w:rPr>
        <w:t xml:space="preserve"> solid organ transplant patients</w:t>
      </w:r>
    </w:p>
    <w:p w14:paraId="11FA9F7B" w14:textId="21D61D1C" w:rsidR="00E94FEB" w:rsidRPr="00E94FEB" w:rsidRDefault="00E94FEB" w:rsidP="00E94FEB">
      <w:pPr>
        <w:jc w:val="both"/>
        <w:rPr>
          <w:rFonts w:ascii="Calibri" w:hAnsi="Calibri" w:cs="Calibri"/>
          <w:sz w:val="20"/>
          <w:szCs w:val="20"/>
          <w:vertAlign w:val="superscript"/>
          <w:lang w:val="en-AU"/>
        </w:rPr>
      </w:pPr>
      <w:r w:rsidRPr="00E94FEB">
        <w:rPr>
          <w:rFonts w:ascii="Calibri" w:hAnsi="Calibri" w:cs="Calibri"/>
          <w:sz w:val="20"/>
          <w:szCs w:val="20"/>
        </w:rPr>
        <w:t>Julia Netylko</w:t>
      </w:r>
      <w:r w:rsidRPr="00E94FEB">
        <w:rPr>
          <w:rFonts w:ascii="Calibri" w:hAnsi="Calibri" w:cs="Calibri"/>
          <w:sz w:val="20"/>
          <w:szCs w:val="20"/>
          <w:vertAlign w:val="superscript"/>
        </w:rPr>
        <w:t>1</w:t>
      </w:r>
      <w:r w:rsidRPr="00E94FEB">
        <w:rPr>
          <w:rFonts w:ascii="Calibri" w:hAnsi="Calibri" w:cs="Calibri"/>
          <w:sz w:val="20"/>
          <w:szCs w:val="20"/>
        </w:rPr>
        <w:t>, Andreas Halman</w:t>
      </w:r>
      <w:r w:rsidRPr="00E94FEB">
        <w:rPr>
          <w:rFonts w:ascii="Calibri" w:hAnsi="Calibri" w:cs="Calibri"/>
          <w:sz w:val="20"/>
          <w:szCs w:val="20"/>
          <w:vertAlign w:val="superscript"/>
        </w:rPr>
        <w:t>1,3</w:t>
      </w:r>
      <w:r w:rsidRPr="00E94FEB">
        <w:rPr>
          <w:rFonts w:ascii="Calibri" w:hAnsi="Calibri" w:cs="Calibri"/>
          <w:sz w:val="20"/>
          <w:szCs w:val="20"/>
        </w:rPr>
        <w:t>, Dhrita Khatri</w:t>
      </w:r>
      <w:r w:rsidRPr="00E94FEB">
        <w:rPr>
          <w:rFonts w:ascii="Calibri" w:hAnsi="Calibri" w:cs="Calibri"/>
          <w:sz w:val="20"/>
          <w:szCs w:val="20"/>
        </w:rPr>
        <w:t xml:space="preserve"> </w:t>
      </w:r>
      <w:r w:rsidRPr="00E94FEB">
        <w:rPr>
          <w:rFonts w:ascii="Calibri" w:hAnsi="Calibri" w:cs="Calibri"/>
          <w:sz w:val="20"/>
          <w:szCs w:val="20"/>
          <w:vertAlign w:val="superscript"/>
        </w:rPr>
        <w:t>1,2</w:t>
      </w:r>
      <w:r w:rsidRPr="00E94FEB">
        <w:rPr>
          <w:rFonts w:ascii="Calibri" w:hAnsi="Calibri" w:cs="Calibri"/>
          <w:sz w:val="20"/>
          <w:szCs w:val="20"/>
        </w:rPr>
        <w:t xml:space="preserve">, </w:t>
      </w:r>
      <w:r w:rsidRPr="00E94FEB">
        <w:rPr>
          <w:rFonts w:ascii="Calibri" w:hAnsi="Calibri" w:cs="Calibri"/>
          <w:sz w:val="20"/>
          <w:szCs w:val="20"/>
        </w:rPr>
        <w:t>Joshua Kausman</w:t>
      </w:r>
      <w:r w:rsidRPr="00E94FEB">
        <w:rPr>
          <w:rFonts w:ascii="Calibri" w:hAnsi="Calibri" w:cs="Calibri"/>
          <w:sz w:val="20"/>
          <w:szCs w:val="20"/>
          <w:vertAlign w:val="superscript"/>
        </w:rPr>
        <w:t>4</w:t>
      </w:r>
      <w:r w:rsidRPr="00E94FEB">
        <w:rPr>
          <w:rFonts w:ascii="Calibri" w:hAnsi="Calibri" w:cs="Calibri"/>
          <w:sz w:val="20"/>
          <w:szCs w:val="20"/>
        </w:rPr>
        <w:t>, Jacob Mathew</w:t>
      </w:r>
      <w:r w:rsidRPr="00E94FEB">
        <w:rPr>
          <w:rFonts w:ascii="Calibri" w:hAnsi="Calibri" w:cs="Calibri"/>
          <w:sz w:val="20"/>
          <w:szCs w:val="20"/>
          <w:vertAlign w:val="superscript"/>
        </w:rPr>
        <w:t>5</w:t>
      </w:r>
      <w:r w:rsidRPr="00E94FEB">
        <w:rPr>
          <w:rFonts w:ascii="Calibri" w:hAnsi="Calibri" w:cs="Calibri"/>
          <w:sz w:val="20"/>
          <w:szCs w:val="20"/>
        </w:rPr>
        <w:t>, Elizabeth Bannister</w:t>
      </w:r>
      <w:r w:rsidRPr="00E94FEB">
        <w:rPr>
          <w:rFonts w:ascii="Calibri" w:hAnsi="Calibri" w:cs="Calibri"/>
          <w:sz w:val="20"/>
          <w:szCs w:val="20"/>
          <w:vertAlign w:val="superscript"/>
        </w:rPr>
        <w:t>6</w:t>
      </w:r>
      <w:r w:rsidRPr="00E94FEB">
        <w:rPr>
          <w:rFonts w:ascii="Calibri" w:hAnsi="Calibri" w:cs="Calibri"/>
          <w:sz w:val="20"/>
          <w:szCs w:val="20"/>
        </w:rPr>
        <w:t>, Claire Moore</w:t>
      </w:r>
      <w:r w:rsidRPr="00E94FEB">
        <w:rPr>
          <w:rFonts w:ascii="Calibri" w:hAnsi="Calibri" w:cs="Calibri"/>
          <w:sz w:val="20"/>
          <w:szCs w:val="20"/>
          <w:vertAlign w:val="superscript"/>
        </w:rPr>
        <w:t>1,2</w:t>
      </w:r>
      <w:r w:rsidRPr="00E94FEB">
        <w:rPr>
          <w:rFonts w:ascii="Calibri" w:hAnsi="Calibri" w:cs="Calibri"/>
          <w:sz w:val="20"/>
          <w:szCs w:val="20"/>
        </w:rPr>
        <w:t>, Tayla Stenta</w:t>
      </w:r>
      <w:r w:rsidRPr="00E94FEB">
        <w:rPr>
          <w:rFonts w:ascii="Calibri" w:hAnsi="Calibri" w:cs="Calibri"/>
          <w:sz w:val="20"/>
          <w:szCs w:val="20"/>
          <w:vertAlign w:val="superscript"/>
        </w:rPr>
        <w:t>1,</w:t>
      </w:r>
      <w:proofErr w:type="gramStart"/>
      <w:r w:rsidRPr="00E94FEB">
        <w:rPr>
          <w:rFonts w:ascii="Calibri" w:hAnsi="Calibri" w:cs="Calibri"/>
          <w:sz w:val="20"/>
          <w:szCs w:val="20"/>
          <w:vertAlign w:val="superscript"/>
        </w:rPr>
        <w:t>2</w:t>
      </w:r>
      <w:r w:rsidRPr="00E94FEB">
        <w:rPr>
          <w:rFonts w:ascii="Calibri" w:hAnsi="Calibri" w:cs="Calibri"/>
          <w:sz w:val="20"/>
          <w:szCs w:val="20"/>
        </w:rPr>
        <w:t>,Beth</w:t>
      </w:r>
      <w:proofErr w:type="gramEnd"/>
      <w:r w:rsidRPr="00E94FEB">
        <w:rPr>
          <w:rFonts w:ascii="Calibri" w:hAnsi="Calibri" w:cs="Calibri"/>
          <w:sz w:val="20"/>
          <w:szCs w:val="20"/>
        </w:rPr>
        <w:t xml:space="preserve"> Williams</w:t>
      </w:r>
      <w:r w:rsidRPr="00E94FEB">
        <w:rPr>
          <w:rFonts w:ascii="Calibri" w:hAnsi="Calibri" w:cs="Calibri"/>
          <w:sz w:val="20"/>
          <w:szCs w:val="20"/>
          <w:vertAlign w:val="superscript"/>
        </w:rPr>
        <w:t>1,2</w:t>
      </w:r>
      <w:r w:rsidRPr="00E94FEB">
        <w:rPr>
          <w:rFonts w:ascii="Calibri" w:hAnsi="Calibri" w:cs="Calibri"/>
          <w:sz w:val="20"/>
          <w:szCs w:val="20"/>
        </w:rPr>
        <w:t>, Roxanne Dyas</w:t>
      </w:r>
      <w:r w:rsidRPr="00E94FEB">
        <w:rPr>
          <w:rFonts w:ascii="Calibri" w:hAnsi="Calibri" w:cs="Calibri"/>
          <w:sz w:val="20"/>
          <w:szCs w:val="20"/>
          <w:vertAlign w:val="superscript"/>
        </w:rPr>
        <w:t>1,2</w:t>
      </w:r>
      <w:r w:rsidRPr="00E94FEB">
        <w:rPr>
          <w:rFonts w:ascii="Calibri" w:hAnsi="Calibri" w:cs="Calibri"/>
          <w:sz w:val="20"/>
          <w:szCs w:val="20"/>
        </w:rPr>
        <w:t>, David Metz</w:t>
      </w:r>
      <w:r w:rsidRPr="00E94FEB">
        <w:rPr>
          <w:rFonts w:ascii="Calibri" w:hAnsi="Calibri" w:cs="Calibri"/>
          <w:sz w:val="20"/>
          <w:szCs w:val="20"/>
          <w:vertAlign w:val="superscript"/>
        </w:rPr>
        <w:t>4,7,</w:t>
      </w:r>
      <w:proofErr w:type="gramStart"/>
      <w:r w:rsidRPr="00E94FEB">
        <w:rPr>
          <w:rFonts w:ascii="Calibri" w:hAnsi="Calibri" w:cs="Calibri"/>
          <w:sz w:val="20"/>
          <w:szCs w:val="20"/>
          <w:vertAlign w:val="superscript"/>
        </w:rPr>
        <w:t>8 </w:t>
      </w:r>
      <w:r w:rsidRPr="00E94FEB">
        <w:rPr>
          <w:rFonts w:ascii="Calibri" w:hAnsi="Calibri" w:cs="Calibri"/>
          <w:sz w:val="20"/>
          <w:szCs w:val="20"/>
        </w:rPr>
        <w:t>,</w:t>
      </w:r>
      <w:proofErr w:type="gramEnd"/>
      <w:r w:rsidRPr="00E94FEB">
        <w:rPr>
          <w:rFonts w:ascii="Calibri" w:hAnsi="Calibri" w:cs="Calibri"/>
          <w:sz w:val="20"/>
          <w:szCs w:val="20"/>
        </w:rPr>
        <w:t xml:space="preserve"> Rachel Conyers</w:t>
      </w:r>
      <w:r w:rsidRPr="00E94FEB">
        <w:rPr>
          <w:rFonts w:ascii="Calibri" w:hAnsi="Calibri" w:cs="Calibri"/>
          <w:sz w:val="20"/>
          <w:szCs w:val="20"/>
          <w:vertAlign w:val="superscript"/>
        </w:rPr>
        <w:t>1,2,9</w:t>
      </w:r>
      <w:r w:rsidRPr="00E94FEB">
        <w:rPr>
          <w:rFonts w:ascii="Calibri" w:hAnsi="Calibri" w:cs="Calibri"/>
          <w:sz w:val="20"/>
          <w:szCs w:val="20"/>
          <w:vertAlign w:val="superscript"/>
          <w:lang w:val="en-AU"/>
        </w:rPr>
        <w:t>​</w:t>
      </w:r>
    </w:p>
    <w:p w14:paraId="0F8195B6" w14:textId="6BB24D6F" w:rsidR="00E94FEB" w:rsidRPr="00E94FEB" w:rsidRDefault="00E94FEB" w:rsidP="00E94FEB">
      <w:pPr>
        <w:jc w:val="both"/>
        <w:rPr>
          <w:rFonts w:ascii="Calibri" w:hAnsi="Calibri" w:cs="Calibri"/>
          <w:sz w:val="20"/>
          <w:szCs w:val="20"/>
        </w:rPr>
      </w:pPr>
      <w:r w:rsidRPr="00E94FEB">
        <w:rPr>
          <w:rFonts w:ascii="Calibri" w:hAnsi="Calibri" w:cs="Calibri"/>
          <w:sz w:val="20"/>
          <w:szCs w:val="20"/>
          <w:lang w:val="en-AU"/>
        </w:rPr>
        <w:t>1.</w:t>
      </w:r>
      <w:r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E94FEB">
        <w:rPr>
          <w:rFonts w:ascii="Calibri" w:hAnsi="Calibri" w:cs="Calibri"/>
          <w:sz w:val="20"/>
          <w:szCs w:val="20"/>
          <w:lang w:val="en-AU"/>
        </w:rPr>
        <w:t xml:space="preserve">Cancer Therapies Group, Murdoch Children’s Research Institute, Melbourne, Australia; 2.Department of Paediatrics, The University of Melbourne, Australia; 3. Victorian Clinical Genetics Services, Melbourne, Australia; 4.Nephrology Department, The Royal Children’s Hospital, Melbourne, Australia ; 5. Cardiology Department, The Royal Children’s Hospital, Melbourne, Australia; 6. Gastroenterology Department, The Royal Children’s </w:t>
      </w:r>
      <w:proofErr w:type="spellStart"/>
      <w:r w:rsidRPr="00E94FEB">
        <w:rPr>
          <w:rFonts w:ascii="Calibri" w:hAnsi="Calibri" w:cs="Calibri"/>
          <w:sz w:val="20"/>
          <w:szCs w:val="20"/>
          <w:lang w:val="en-AU"/>
        </w:rPr>
        <w:t>Hospital,Melbourne</w:t>
      </w:r>
      <w:proofErr w:type="spellEnd"/>
      <w:r w:rsidRPr="00E94FEB">
        <w:rPr>
          <w:rFonts w:ascii="Calibri" w:hAnsi="Calibri" w:cs="Calibri"/>
          <w:sz w:val="20"/>
          <w:szCs w:val="20"/>
          <w:lang w:val="en-AU"/>
        </w:rPr>
        <w:t>, Australia; 7.</w:t>
      </w:r>
      <w:r w:rsidRPr="00E94FEB">
        <w:rPr>
          <w:rFonts w:ascii="Calibri" w:hAnsi="Calibri" w:cs="Calibri"/>
          <w:sz w:val="20"/>
          <w:szCs w:val="20"/>
        </w:rPr>
        <w:t> Department of </w:t>
      </w:r>
      <w:proofErr w:type="spellStart"/>
      <w:r w:rsidRPr="00E94FEB">
        <w:rPr>
          <w:rFonts w:ascii="Calibri" w:hAnsi="Calibri" w:cs="Calibri"/>
          <w:sz w:val="20"/>
          <w:szCs w:val="20"/>
        </w:rPr>
        <w:t>Paediatrics</w:t>
      </w:r>
      <w:proofErr w:type="spellEnd"/>
      <w:r w:rsidRPr="00E94FEB">
        <w:rPr>
          <w:rFonts w:ascii="Calibri" w:hAnsi="Calibri" w:cs="Calibri"/>
          <w:sz w:val="20"/>
          <w:szCs w:val="20"/>
        </w:rPr>
        <w:t>, Monash University, Melbourne, Australia; 8. Murdoch Children’s Research Institute, Melbourne, Australia Children’s; 9. Cancer Centre, The Royal Children’s Hospital, Australia.​</w:t>
      </w:r>
    </w:p>
    <w:p w14:paraId="37408A27" w14:textId="636C357B" w:rsidR="00711813" w:rsidRPr="004E5450" w:rsidRDefault="00711813" w:rsidP="00E94FEB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4E5450">
        <w:rPr>
          <w:i/>
          <w:color w:val="auto"/>
          <w:sz w:val="20"/>
          <w:szCs w:val="20"/>
        </w:rPr>
        <w:t xml:space="preserve"> </w:t>
      </w:r>
    </w:p>
    <w:p w14:paraId="76E77056" w14:textId="042303EC" w:rsidR="00F97620" w:rsidRPr="004B4154" w:rsidRDefault="00E94FEB" w:rsidP="004B4154">
      <w:pPr>
        <w:rPr>
          <w:rFonts w:ascii="Calibri" w:hAnsi="Calibri" w:cs="Calibri"/>
          <w:sz w:val="20"/>
          <w:szCs w:val="20"/>
          <w:lang w:val="en-GB"/>
        </w:rPr>
      </w:pPr>
      <w:r w:rsidRPr="00B56388">
        <w:rPr>
          <w:rFonts w:ascii="Calibri" w:hAnsi="Calibri" w:cs="Calibri"/>
          <w:b/>
          <w:bCs/>
          <w:sz w:val="20"/>
          <w:szCs w:val="20"/>
        </w:rPr>
        <w:t xml:space="preserve">Background: </w:t>
      </w:r>
      <w:r w:rsidR="004B4154" w:rsidRPr="004B4154">
        <w:rPr>
          <w:rFonts w:ascii="Calibri" w:hAnsi="Calibri" w:cs="Calibri"/>
          <w:sz w:val="20"/>
          <w:szCs w:val="20"/>
        </w:rPr>
        <w:t xml:space="preserve">Tacrolimus is essential for preventing transplant rejection but exhibits high pharmacokinetic variability. Standard dosing frequently results in suboptimal exposure, risking rejection and toxicity. While precision dosing improves adult outcomes, </w:t>
      </w:r>
      <w:proofErr w:type="spellStart"/>
      <w:r w:rsidR="004B4154" w:rsidRPr="004B4154">
        <w:rPr>
          <w:rFonts w:ascii="Calibri" w:hAnsi="Calibri" w:cs="Calibri"/>
          <w:sz w:val="20"/>
          <w:szCs w:val="20"/>
        </w:rPr>
        <w:t>paediatric</w:t>
      </w:r>
      <w:proofErr w:type="spellEnd"/>
      <w:r w:rsidR="004B4154" w:rsidRPr="004B4154">
        <w:rPr>
          <w:rFonts w:ascii="Calibri" w:hAnsi="Calibri" w:cs="Calibri"/>
          <w:sz w:val="20"/>
          <w:szCs w:val="20"/>
        </w:rPr>
        <w:t xml:space="preserve"> data are limited, necessitating pediatric-specific evidence to optimize tacrolimus therapy in children.</w:t>
      </w:r>
      <w:r w:rsidR="004B4154">
        <w:rPr>
          <w:rFonts w:ascii="Calibri" w:hAnsi="Calibri" w:cs="Calibri"/>
          <w:sz w:val="20"/>
          <w:szCs w:val="20"/>
        </w:rPr>
        <w:t xml:space="preserve"> </w:t>
      </w:r>
      <w:r w:rsidRPr="00B56388">
        <w:rPr>
          <w:rFonts w:ascii="Calibri" w:hAnsi="Calibri" w:cs="Calibri"/>
          <w:b/>
          <w:bCs/>
          <w:sz w:val="20"/>
          <w:szCs w:val="20"/>
        </w:rPr>
        <w:t>Aim:</w:t>
      </w:r>
      <w:r w:rsidRPr="00B56388">
        <w:rPr>
          <w:rFonts w:ascii="Calibri" w:hAnsi="Calibri" w:cs="Calibri"/>
          <w:sz w:val="20"/>
          <w:szCs w:val="20"/>
        </w:rPr>
        <w:t xml:space="preserve"> To evaluate the effectiveness of genotype-informed Bayesian dosing of tacrolimus in </w:t>
      </w:r>
      <w:proofErr w:type="spellStart"/>
      <w:r w:rsidRPr="00B56388">
        <w:rPr>
          <w:rFonts w:ascii="Calibri" w:hAnsi="Calibri" w:cs="Calibri"/>
          <w:sz w:val="20"/>
          <w:szCs w:val="20"/>
        </w:rPr>
        <w:t>paediatric</w:t>
      </w:r>
      <w:proofErr w:type="spellEnd"/>
      <w:r w:rsidRPr="00B56388">
        <w:rPr>
          <w:rFonts w:ascii="Calibri" w:hAnsi="Calibri" w:cs="Calibri"/>
          <w:sz w:val="20"/>
          <w:szCs w:val="20"/>
        </w:rPr>
        <w:t xml:space="preserve"> </w:t>
      </w:r>
      <w:r w:rsidRPr="00DF655C">
        <w:rPr>
          <w:rFonts w:ascii="Calibri" w:hAnsi="Calibri" w:cs="Calibri"/>
          <w:sz w:val="20"/>
          <w:szCs w:val="20"/>
        </w:rPr>
        <w:t>solid organ transplant</w:t>
      </w:r>
      <w:r w:rsidRPr="00B56388">
        <w:rPr>
          <w:rFonts w:ascii="Calibri" w:hAnsi="Calibri" w:cs="Calibri"/>
          <w:sz w:val="20"/>
          <w:szCs w:val="20"/>
        </w:rPr>
        <w:t xml:space="preserve"> compared to standard </w:t>
      </w:r>
      <w:r>
        <w:rPr>
          <w:rFonts w:ascii="Calibri" w:hAnsi="Calibri" w:cs="Calibri"/>
          <w:sz w:val="20"/>
          <w:szCs w:val="20"/>
        </w:rPr>
        <w:t xml:space="preserve">of care </w:t>
      </w:r>
      <w:r w:rsidRPr="00B56388">
        <w:rPr>
          <w:rFonts w:ascii="Calibri" w:hAnsi="Calibri" w:cs="Calibri"/>
          <w:sz w:val="20"/>
          <w:szCs w:val="20"/>
        </w:rPr>
        <w:t>weight-based dosing.</w:t>
      </w:r>
      <w:r w:rsidRPr="00B56388">
        <w:rPr>
          <w:rFonts w:ascii="Calibri" w:hAnsi="Calibri" w:cs="Calibri"/>
          <w:sz w:val="20"/>
          <w:szCs w:val="20"/>
          <w:lang w:val="en-GB"/>
        </w:rPr>
        <w:t> </w:t>
      </w:r>
      <w:r>
        <w:rPr>
          <w:rFonts w:ascii="Calibri" w:hAnsi="Calibri" w:cs="Calibri"/>
          <w:sz w:val="20"/>
          <w:szCs w:val="20"/>
          <w:lang w:val="en-GB"/>
        </w:rPr>
        <w:t xml:space="preserve"> </w:t>
      </w:r>
      <w:r w:rsidRPr="00B56388">
        <w:rPr>
          <w:rFonts w:ascii="Calibri" w:hAnsi="Calibri" w:cs="Calibri"/>
          <w:b/>
          <w:bCs/>
          <w:sz w:val="20"/>
          <w:szCs w:val="20"/>
        </w:rPr>
        <w:t>Methods</w:t>
      </w:r>
      <w:r w:rsidRPr="00B56388">
        <w:rPr>
          <w:rFonts w:ascii="Calibri" w:hAnsi="Calibri" w:cs="Calibri"/>
          <w:sz w:val="20"/>
          <w:szCs w:val="20"/>
        </w:rPr>
        <w:t>: Participants</w:t>
      </w:r>
      <w:r>
        <w:rPr>
          <w:rFonts w:ascii="Calibri" w:hAnsi="Calibri" w:cs="Calibri"/>
          <w:sz w:val="20"/>
          <w:szCs w:val="20"/>
        </w:rPr>
        <w:t xml:space="preserve"> (n=45) of this </w:t>
      </w:r>
      <w:r w:rsidRPr="00B56388">
        <w:rPr>
          <w:rFonts w:ascii="Calibri" w:hAnsi="Calibri" w:cs="Calibri"/>
          <w:sz w:val="20"/>
          <w:szCs w:val="20"/>
        </w:rPr>
        <w:t>prospective single-arm cohort study receive initial dosing informed by CYP3A4</w:t>
      </w:r>
      <w:r w:rsidR="004B4154">
        <w:rPr>
          <w:rFonts w:ascii="Calibri" w:hAnsi="Calibri" w:cs="Calibri"/>
          <w:sz w:val="20"/>
          <w:szCs w:val="20"/>
        </w:rPr>
        <w:t>/</w:t>
      </w:r>
      <w:r w:rsidRPr="00B56388">
        <w:rPr>
          <w:rFonts w:ascii="Calibri" w:hAnsi="Calibri" w:cs="Calibri"/>
          <w:sz w:val="20"/>
          <w:szCs w:val="20"/>
        </w:rPr>
        <w:t xml:space="preserve">5 genotypes, with Bayesian dose optimization using </w:t>
      </w:r>
      <w:proofErr w:type="spellStart"/>
      <w:r w:rsidRPr="00B56388">
        <w:rPr>
          <w:rFonts w:ascii="Calibri" w:hAnsi="Calibri" w:cs="Calibri"/>
          <w:sz w:val="20"/>
          <w:szCs w:val="20"/>
        </w:rPr>
        <w:t>NextDose</w:t>
      </w:r>
      <w:proofErr w:type="spellEnd"/>
      <w:r w:rsidRPr="00B56388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software </w:t>
      </w:r>
      <w:r w:rsidRPr="00B56388">
        <w:rPr>
          <w:rFonts w:ascii="Calibri" w:hAnsi="Calibri" w:cs="Calibri"/>
          <w:sz w:val="20"/>
          <w:szCs w:val="20"/>
        </w:rPr>
        <w:t xml:space="preserve">from day 4 through week 8 post-transplant. The study assesses </w:t>
      </w:r>
      <w:r>
        <w:rPr>
          <w:rFonts w:ascii="Calibri" w:hAnsi="Calibri" w:cs="Calibri"/>
          <w:sz w:val="20"/>
          <w:szCs w:val="20"/>
        </w:rPr>
        <w:t xml:space="preserve">and compares </w:t>
      </w:r>
      <w:r w:rsidRPr="00B56388">
        <w:rPr>
          <w:rFonts w:ascii="Calibri" w:hAnsi="Calibri" w:cs="Calibri"/>
          <w:sz w:val="20"/>
          <w:szCs w:val="20"/>
        </w:rPr>
        <w:t>tacrolimus</w:t>
      </w:r>
      <w:r>
        <w:rPr>
          <w:rFonts w:ascii="Calibri" w:hAnsi="Calibri" w:cs="Calibri"/>
          <w:sz w:val="20"/>
          <w:szCs w:val="20"/>
        </w:rPr>
        <w:t xml:space="preserve"> target range attainment and clinical</w:t>
      </w:r>
      <w:r w:rsidRPr="00B56388">
        <w:rPr>
          <w:rFonts w:ascii="Calibri" w:hAnsi="Calibri" w:cs="Calibri"/>
          <w:sz w:val="20"/>
          <w:szCs w:val="20"/>
        </w:rPr>
        <w:t xml:space="preserve"> outcomes including rejection and toxicity</w:t>
      </w:r>
      <w:r>
        <w:rPr>
          <w:rFonts w:ascii="Calibri" w:hAnsi="Calibri" w:cs="Calibri"/>
          <w:sz w:val="20"/>
          <w:szCs w:val="20"/>
        </w:rPr>
        <w:t xml:space="preserve"> with the </w:t>
      </w:r>
      <w:r w:rsidRPr="00B56388">
        <w:rPr>
          <w:rFonts w:ascii="Calibri" w:hAnsi="Calibri" w:cs="Calibri"/>
          <w:sz w:val="20"/>
          <w:szCs w:val="20"/>
        </w:rPr>
        <w:t>retrospective standard-of-care cohort.</w:t>
      </w:r>
      <w:r>
        <w:rPr>
          <w:rFonts w:ascii="Calibri" w:hAnsi="Calibri" w:cs="Calibri"/>
          <w:sz w:val="20"/>
          <w:szCs w:val="20"/>
          <w:lang w:val="en-GB"/>
        </w:rPr>
        <w:t xml:space="preserve"> </w:t>
      </w:r>
      <w:r w:rsidRPr="00B56388">
        <w:rPr>
          <w:rFonts w:ascii="Calibri" w:hAnsi="Calibri" w:cs="Calibri"/>
          <w:b/>
          <w:bCs/>
          <w:sz w:val="20"/>
          <w:szCs w:val="20"/>
        </w:rPr>
        <w:t>Results</w:t>
      </w:r>
      <w:r w:rsidRPr="00B56388">
        <w:rPr>
          <w:rFonts w:ascii="Calibri" w:hAnsi="Calibri" w:cs="Calibri"/>
          <w:sz w:val="20"/>
          <w:szCs w:val="20"/>
        </w:rPr>
        <w:t>: To date, 26 patients have been enrolled with pharmacogenetic results available for 24 patients; 9 have completed the 8-week study period. CYP3A5 genotype distribution includes 8 expressers (*1/*3, 33%), 1 extensive expresser (*1/*1, 4%), and 15 non-expressers (63%).</w:t>
      </w:r>
      <w:r>
        <w:rPr>
          <w:rFonts w:ascii="Calibri" w:hAnsi="Calibri" w:cs="Calibri"/>
          <w:sz w:val="20"/>
          <w:szCs w:val="20"/>
        </w:rPr>
        <w:t xml:space="preserve"> The </w:t>
      </w:r>
      <w:r w:rsidRPr="00B56388">
        <w:rPr>
          <w:rFonts w:ascii="Calibri" w:hAnsi="Calibri" w:cs="Calibri"/>
          <w:sz w:val="20"/>
          <w:szCs w:val="20"/>
        </w:rPr>
        <w:t>prospective genotype-informed Bayesian dosing group demonstrated</w:t>
      </w:r>
      <w:r>
        <w:rPr>
          <w:rFonts w:ascii="Calibri" w:hAnsi="Calibri" w:cs="Calibri"/>
          <w:sz w:val="20"/>
          <w:szCs w:val="20"/>
        </w:rPr>
        <w:t xml:space="preserve"> significantly</w:t>
      </w:r>
      <w:r w:rsidRPr="00B56388">
        <w:rPr>
          <w:rFonts w:ascii="Calibri" w:hAnsi="Calibri" w:cs="Calibri"/>
          <w:sz w:val="20"/>
          <w:szCs w:val="20"/>
        </w:rPr>
        <w:t xml:space="preserve"> higher time in therapeutic range</w:t>
      </w:r>
      <w:r>
        <w:rPr>
          <w:rFonts w:ascii="Calibri" w:hAnsi="Calibri" w:cs="Calibri"/>
          <w:sz w:val="20"/>
          <w:szCs w:val="20"/>
        </w:rPr>
        <w:t xml:space="preserve"> over retrospective standard of care</w:t>
      </w:r>
      <w:r w:rsidRPr="00B56388">
        <w:rPr>
          <w:rFonts w:ascii="Calibri" w:hAnsi="Calibri" w:cs="Calibri"/>
          <w:sz w:val="20"/>
          <w:szCs w:val="20"/>
        </w:rPr>
        <w:t xml:space="preserve"> (71.3% [SD 11.4] vs 59.3% [SD 15.4]</w:t>
      </w:r>
      <w:r>
        <w:rPr>
          <w:rFonts w:ascii="Calibri" w:hAnsi="Calibri" w:cs="Calibri"/>
          <w:sz w:val="20"/>
          <w:szCs w:val="20"/>
        </w:rPr>
        <w:t>, p &lt; 0.05</w:t>
      </w:r>
      <w:r w:rsidRPr="00B56388">
        <w:rPr>
          <w:rFonts w:ascii="Calibri" w:hAnsi="Calibri" w:cs="Calibri"/>
          <w:sz w:val="20"/>
          <w:szCs w:val="20"/>
        </w:rPr>
        <w:t>)</w:t>
      </w:r>
      <w:r>
        <w:rPr>
          <w:rFonts w:ascii="Calibri" w:hAnsi="Calibri" w:cs="Calibri"/>
          <w:sz w:val="20"/>
          <w:szCs w:val="20"/>
        </w:rPr>
        <w:t xml:space="preserve">, while </w:t>
      </w:r>
      <w:r w:rsidRPr="00B56388">
        <w:rPr>
          <w:rFonts w:ascii="Calibri" w:hAnsi="Calibri" w:cs="Calibri"/>
          <w:sz w:val="20"/>
          <w:szCs w:val="20"/>
        </w:rPr>
        <w:t xml:space="preserve">coefficient of variation </w:t>
      </w:r>
      <w:r>
        <w:rPr>
          <w:rFonts w:ascii="Calibri" w:hAnsi="Calibri" w:cs="Calibri"/>
          <w:sz w:val="20"/>
          <w:szCs w:val="20"/>
        </w:rPr>
        <w:t xml:space="preserve">was similar between groups </w:t>
      </w:r>
      <w:r w:rsidRPr="00B56388">
        <w:rPr>
          <w:rFonts w:ascii="Calibri" w:hAnsi="Calibri" w:cs="Calibri"/>
          <w:sz w:val="20"/>
          <w:szCs w:val="20"/>
        </w:rPr>
        <w:t>(27.7% [SD 5.3] vs 28.3% [SD 9.9]</w:t>
      </w:r>
      <w:r>
        <w:rPr>
          <w:rFonts w:ascii="Calibri" w:hAnsi="Calibri" w:cs="Calibri"/>
          <w:sz w:val="20"/>
          <w:szCs w:val="20"/>
        </w:rPr>
        <w:t>, respectively</w:t>
      </w:r>
      <w:r w:rsidRPr="00B56388">
        <w:rPr>
          <w:rFonts w:ascii="Calibri" w:hAnsi="Calibri" w:cs="Calibri"/>
          <w:sz w:val="20"/>
          <w:szCs w:val="20"/>
        </w:rPr>
        <w:t>)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  <w:lang w:val="en-GB"/>
        </w:rPr>
        <w:t xml:space="preserve"> </w:t>
      </w:r>
      <w:r w:rsidRPr="00B56388">
        <w:rPr>
          <w:rFonts w:ascii="Calibri" w:hAnsi="Calibri" w:cs="Calibri"/>
          <w:b/>
          <w:bCs/>
          <w:sz w:val="20"/>
          <w:szCs w:val="20"/>
        </w:rPr>
        <w:t>Conclusions</w:t>
      </w:r>
      <w:r w:rsidRPr="00B56388">
        <w:rPr>
          <w:rFonts w:ascii="Calibri" w:hAnsi="Calibri" w:cs="Calibri"/>
          <w:sz w:val="20"/>
          <w:szCs w:val="20"/>
        </w:rPr>
        <w:t>: </w:t>
      </w:r>
      <w:r>
        <w:rPr>
          <w:rFonts w:ascii="Calibri" w:hAnsi="Calibri" w:cs="Calibri"/>
          <w:sz w:val="20"/>
          <w:szCs w:val="20"/>
        </w:rPr>
        <w:t>Preliminary</w:t>
      </w:r>
      <w:r w:rsidRPr="00B56388">
        <w:rPr>
          <w:rFonts w:ascii="Calibri" w:hAnsi="Calibri" w:cs="Calibri"/>
          <w:sz w:val="20"/>
          <w:szCs w:val="20"/>
        </w:rPr>
        <w:t xml:space="preserve"> results suggest</w:t>
      </w:r>
      <w:r>
        <w:rPr>
          <w:rFonts w:ascii="Calibri" w:hAnsi="Calibri" w:cs="Calibri"/>
          <w:sz w:val="20"/>
          <w:szCs w:val="20"/>
        </w:rPr>
        <w:t xml:space="preserve"> using</w:t>
      </w:r>
      <w:r w:rsidRPr="00B56388">
        <w:rPr>
          <w:rFonts w:ascii="Calibri" w:hAnsi="Calibri" w:cs="Calibri"/>
          <w:sz w:val="20"/>
          <w:szCs w:val="20"/>
        </w:rPr>
        <w:t xml:space="preserve"> genotype-informed Bayesian dosing </w:t>
      </w:r>
      <w:r>
        <w:rPr>
          <w:rFonts w:ascii="Calibri" w:hAnsi="Calibri" w:cs="Calibri"/>
          <w:sz w:val="20"/>
          <w:szCs w:val="20"/>
        </w:rPr>
        <w:t xml:space="preserve">can </w:t>
      </w:r>
      <w:r w:rsidRPr="00B56388">
        <w:rPr>
          <w:rFonts w:ascii="Calibri" w:hAnsi="Calibri" w:cs="Calibri"/>
          <w:sz w:val="20"/>
          <w:szCs w:val="20"/>
        </w:rPr>
        <w:t xml:space="preserve">improve tacrolimus concentration control in </w:t>
      </w:r>
      <w:proofErr w:type="spellStart"/>
      <w:r w:rsidRPr="00B56388">
        <w:rPr>
          <w:rFonts w:ascii="Calibri" w:hAnsi="Calibri" w:cs="Calibri"/>
          <w:sz w:val="20"/>
          <w:szCs w:val="20"/>
        </w:rPr>
        <w:t>paediatric</w:t>
      </w:r>
      <w:proofErr w:type="spellEnd"/>
      <w:r w:rsidRPr="00B56388">
        <w:rPr>
          <w:rFonts w:ascii="Calibri" w:hAnsi="Calibri" w:cs="Calibri"/>
          <w:sz w:val="20"/>
          <w:szCs w:val="20"/>
        </w:rPr>
        <w:t xml:space="preserve"> transplant recipients. </w:t>
      </w:r>
      <w:r>
        <w:rPr>
          <w:rFonts w:ascii="Calibri" w:hAnsi="Calibri" w:cs="Calibri"/>
          <w:sz w:val="20"/>
          <w:szCs w:val="20"/>
        </w:rPr>
        <w:t>This first-of-kind study</w:t>
      </w:r>
      <w:r w:rsidRPr="00B56388">
        <w:rPr>
          <w:rFonts w:ascii="Calibri" w:hAnsi="Calibri" w:cs="Calibri"/>
          <w:sz w:val="20"/>
          <w:szCs w:val="20"/>
        </w:rPr>
        <w:t xml:space="preserve"> will provide essential </w:t>
      </w:r>
      <w:proofErr w:type="spellStart"/>
      <w:r w:rsidRPr="00B56388">
        <w:rPr>
          <w:rFonts w:ascii="Calibri" w:hAnsi="Calibri" w:cs="Calibri"/>
          <w:sz w:val="20"/>
          <w:szCs w:val="20"/>
        </w:rPr>
        <w:t>paediatric</w:t>
      </w:r>
      <w:proofErr w:type="spellEnd"/>
      <w:r w:rsidRPr="00B56388">
        <w:rPr>
          <w:rFonts w:ascii="Calibri" w:hAnsi="Calibri" w:cs="Calibri"/>
          <w:sz w:val="20"/>
          <w:szCs w:val="20"/>
        </w:rPr>
        <w:t>-specific evidence on whether precision dosing strategies combining pharmacogenetics</w:t>
      </w:r>
      <w:r>
        <w:rPr>
          <w:rFonts w:ascii="Calibri" w:hAnsi="Calibri" w:cs="Calibri"/>
          <w:sz w:val="20"/>
          <w:szCs w:val="20"/>
        </w:rPr>
        <w:t xml:space="preserve"> and</w:t>
      </w:r>
      <w:r w:rsidRPr="00B56388">
        <w:rPr>
          <w:rFonts w:ascii="Calibri" w:hAnsi="Calibri" w:cs="Calibri"/>
          <w:sz w:val="20"/>
          <w:szCs w:val="20"/>
        </w:rPr>
        <w:t xml:space="preserve"> Bayesian </w:t>
      </w:r>
      <w:proofErr w:type="spellStart"/>
      <w:r w:rsidRPr="00B56388">
        <w:rPr>
          <w:rFonts w:ascii="Calibri" w:hAnsi="Calibri" w:cs="Calibri"/>
          <w:sz w:val="20"/>
          <w:szCs w:val="20"/>
        </w:rPr>
        <w:t>optimi</w:t>
      </w:r>
      <w:r>
        <w:rPr>
          <w:rFonts w:ascii="Calibri" w:hAnsi="Calibri" w:cs="Calibri"/>
          <w:sz w:val="20"/>
          <w:szCs w:val="20"/>
        </w:rPr>
        <w:t>s</w:t>
      </w:r>
      <w:r w:rsidRPr="00B56388">
        <w:rPr>
          <w:rFonts w:ascii="Calibri" w:hAnsi="Calibri" w:cs="Calibri"/>
          <w:sz w:val="20"/>
          <w:szCs w:val="20"/>
        </w:rPr>
        <w:t>ation</w:t>
      </w:r>
      <w:proofErr w:type="spellEnd"/>
      <w:r w:rsidRPr="00B56388">
        <w:rPr>
          <w:rFonts w:ascii="Calibri" w:hAnsi="Calibri" w:cs="Calibri"/>
          <w:sz w:val="20"/>
          <w:szCs w:val="20"/>
        </w:rPr>
        <w:t xml:space="preserve"> can </w:t>
      </w:r>
      <w:r>
        <w:rPr>
          <w:rFonts w:ascii="Calibri" w:hAnsi="Calibri" w:cs="Calibri"/>
          <w:sz w:val="20"/>
          <w:szCs w:val="20"/>
        </w:rPr>
        <w:t>improve</w:t>
      </w:r>
      <w:r w:rsidRPr="00B56388">
        <w:rPr>
          <w:rFonts w:ascii="Calibri" w:hAnsi="Calibri" w:cs="Calibri"/>
          <w:sz w:val="20"/>
          <w:szCs w:val="20"/>
        </w:rPr>
        <w:t xml:space="preserve"> tacrolimus </w:t>
      </w:r>
      <w:r>
        <w:rPr>
          <w:rFonts w:ascii="Calibri" w:hAnsi="Calibri" w:cs="Calibri"/>
          <w:sz w:val="20"/>
          <w:szCs w:val="20"/>
        </w:rPr>
        <w:t>dosing</w:t>
      </w:r>
      <w:r w:rsidRPr="00B56388">
        <w:rPr>
          <w:rFonts w:ascii="Calibri" w:hAnsi="Calibri" w:cs="Calibri"/>
          <w:sz w:val="20"/>
          <w:szCs w:val="20"/>
        </w:rPr>
        <w:t xml:space="preserve"> and clinical outcomes in the critical early post-transplant period.</w:t>
      </w:r>
    </w:p>
    <w:sectPr w:rsidR="00F97620" w:rsidRPr="004B4154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D4118"/>
    <w:multiLevelType w:val="hybridMultilevel"/>
    <w:tmpl w:val="951606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143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26BB"/>
    <w:rsid w:val="000A4FA6"/>
    <w:rsid w:val="002272B0"/>
    <w:rsid w:val="00300B92"/>
    <w:rsid w:val="003238D9"/>
    <w:rsid w:val="00387491"/>
    <w:rsid w:val="00444224"/>
    <w:rsid w:val="0048080D"/>
    <w:rsid w:val="00483B05"/>
    <w:rsid w:val="004B4154"/>
    <w:rsid w:val="004E28B9"/>
    <w:rsid w:val="004E50FC"/>
    <w:rsid w:val="004E5450"/>
    <w:rsid w:val="0059609A"/>
    <w:rsid w:val="00597659"/>
    <w:rsid w:val="005D1700"/>
    <w:rsid w:val="005E48A2"/>
    <w:rsid w:val="005E62BE"/>
    <w:rsid w:val="00711813"/>
    <w:rsid w:val="00724E3C"/>
    <w:rsid w:val="00743C46"/>
    <w:rsid w:val="00760B17"/>
    <w:rsid w:val="00885303"/>
    <w:rsid w:val="008909C9"/>
    <w:rsid w:val="00947B77"/>
    <w:rsid w:val="009E2228"/>
    <w:rsid w:val="009F06D6"/>
    <w:rsid w:val="00A266B4"/>
    <w:rsid w:val="00A71DEF"/>
    <w:rsid w:val="00AE2DA6"/>
    <w:rsid w:val="00BC5FCC"/>
    <w:rsid w:val="00C132EC"/>
    <w:rsid w:val="00C60A71"/>
    <w:rsid w:val="00D55F3B"/>
    <w:rsid w:val="00DA2731"/>
    <w:rsid w:val="00E94FEB"/>
    <w:rsid w:val="00EF12F3"/>
    <w:rsid w:val="00F02477"/>
    <w:rsid w:val="00F90F73"/>
    <w:rsid w:val="00F97620"/>
    <w:rsid w:val="00FD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F465D6"/>
  <w15:chartTrackingRefBased/>
  <w15:docId w15:val="{013D8328-CE00-4A19-8E83-3F031752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E41586-76A5-4F87-B80B-1C7DEE0F7D42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Julia Netylko</cp:lastModifiedBy>
  <cp:revision>3</cp:revision>
  <cp:lastPrinted>2013-06-13T05:15:00Z</cp:lastPrinted>
  <dcterms:created xsi:type="dcterms:W3CDTF">2026-02-16T07:04:00Z</dcterms:created>
  <dcterms:modified xsi:type="dcterms:W3CDTF">2026-02-16T07:04:00Z</dcterms:modified>
</cp:coreProperties>
</file>