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3D321" w14:textId="77777777" w:rsidR="008F7BC7" w:rsidRDefault="008760BC">
      <w:pPr>
        <w:pBdr>
          <w:top w:val="nil"/>
          <w:left w:val="nil"/>
          <w:bottom w:val="nil"/>
          <w:right w:val="nil"/>
          <w:between w:val="nil"/>
        </w:pBdr>
        <w:rPr>
          <w:color w:val="000000"/>
          <w:sz w:val="24"/>
          <w:szCs w:val="24"/>
        </w:rPr>
      </w:pPr>
      <w:r>
        <w:rPr>
          <w:b/>
          <w:color w:val="000000"/>
          <w:sz w:val="28"/>
          <w:szCs w:val="28"/>
        </w:rPr>
        <w:t xml:space="preserve">Title: </w:t>
      </w:r>
      <w:bookmarkStart w:id="0" w:name="_GoBack"/>
      <w:r>
        <w:rPr>
          <w:color w:val="000000"/>
          <w:sz w:val="28"/>
          <w:szCs w:val="28"/>
        </w:rPr>
        <w:t>Aggregation-Induced Emission: Materials and Biomedical Applications</w:t>
      </w:r>
      <w:bookmarkEnd w:id="0"/>
    </w:p>
    <w:p w14:paraId="47F7900D" w14:textId="77777777" w:rsidR="008F7BC7" w:rsidRDefault="008760BC">
      <w:pPr>
        <w:pBdr>
          <w:top w:val="nil"/>
          <w:left w:val="nil"/>
          <w:bottom w:val="nil"/>
          <w:right w:val="nil"/>
          <w:between w:val="nil"/>
        </w:pBdr>
        <w:jc w:val="center"/>
        <w:rPr>
          <w:color w:val="000000"/>
          <w:sz w:val="24"/>
          <w:szCs w:val="24"/>
        </w:rPr>
      </w:pPr>
      <w:r>
        <w:rPr>
          <w:color w:val="000000"/>
          <w:sz w:val="24"/>
          <w:szCs w:val="24"/>
        </w:rPr>
        <w:t>Name: Bin Liu</w:t>
      </w:r>
      <w:r>
        <w:rPr>
          <w:color w:val="000000"/>
          <w:sz w:val="24"/>
          <w:szCs w:val="24"/>
        </w:rPr>
        <w:br/>
      </w:r>
    </w:p>
    <w:p w14:paraId="7F5E0E52" w14:textId="77777777" w:rsidR="008F7BC7" w:rsidRDefault="008760BC">
      <w:pPr>
        <w:pBdr>
          <w:top w:val="nil"/>
          <w:left w:val="nil"/>
          <w:bottom w:val="nil"/>
          <w:right w:val="nil"/>
          <w:between w:val="nil"/>
        </w:pBdr>
        <w:jc w:val="center"/>
        <w:rPr>
          <w:color w:val="000000"/>
          <w:sz w:val="24"/>
          <w:szCs w:val="24"/>
        </w:rPr>
      </w:pPr>
      <w:r>
        <w:rPr>
          <w:sz w:val="24"/>
          <w:szCs w:val="24"/>
        </w:rPr>
        <w:t xml:space="preserve">Department of Chemical &amp; Biomolecular Engineering, </w:t>
      </w:r>
      <w:r>
        <w:rPr>
          <w:color w:val="000000"/>
          <w:sz w:val="24"/>
          <w:szCs w:val="24"/>
        </w:rPr>
        <w:t>National University of Singapore</w:t>
      </w:r>
    </w:p>
    <w:p w14:paraId="56586A8E" w14:textId="77777777" w:rsidR="008F7BC7" w:rsidRDefault="008F7BC7">
      <w:pPr>
        <w:pBdr>
          <w:top w:val="nil"/>
          <w:left w:val="nil"/>
          <w:bottom w:val="nil"/>
          <w:right w:val="nil"/>
          <w:between w:val="nil"/>
        </w:pBdr>
        <w:jc w:val="center"/>
        <w:rPr>
          <w:color w:val="0000FF"/>
          <w:sz w:val="36"/>
          <w:szCs w:val="36"/>
        </w:rPr>
      </w:pPr>
    </w:p>
    <w:p w14:paraId="18FCB2B7" w14:textId="77777777" w:rsidR="008F7BC7" w:rsidRDefault="008760BC">
      <w:pPr>
        <w:pBdr>
          <w:top w:val="nil"/>
          <w:left w:val="nil"/>
          <w:bottom w:val="nil"/>
          <w:right w:val="nil"/>
          <w:between w:val="nil"/>
        </w:pBdr>
        <w:jc w:val="both"/>
        <w:rPr>
          <w:color w:val="000000"/>
          <w:sz w:val="24"/>
          <w:szCs w:val="24"/>
        </w:rPr>
      </w:pPr>
      <w:r>
        <w:rPr>
          <w:color w:val="000000"/>
          <w:sz w:val="24"/>
          <w:szCs w:val="24"/>
        </w:rPr>
        <w:t xml:space="preserve">The recent years have witnessed the fast grow of </w:t>
      </w:r>
      <w:proofErr w:type="spellStart"/>
      <w:r>
        <w:rPr>
          <w:color w:val="000000"/>
          <w:sz w:val="24"/>
          <w:szCs w:val="24"/>
        </w:rPr>
        <w:t>fluorogens</w:t>
      </w:r>
      <w:proofErr w:type="spellEnd"/>
      <w:r>
        <w:rPr>
          <w:color w:val="000000"/>
          <w:sz w:val="24"/>
          <w:szCs w:val="24"/>
        </w:rPr>
        <w:t xml:space="preserve"> with aggregation-induced emission characteristics (</w:t>
      </w:r>
      <w:proofErr w:type="spellStart"/>
      <w:r>
        <w:rPr>
          <w:color w:val="000000"/>
          <w:sz w:val="24"/>
          <w:szCs w:val="24"/>
        </w:rPr>
        <w:t>AIEgens</w:t>
      </w:r>
      <w:proofErr w:type="spellEnd"/>
      <w:r>
        <w:rPr>
          <w:color w:val="000000"/>
          <w:sz w:val="24"/>
          <w:szCs w:val="24"/>
        </w:rPr>
        <w:t xml:space="preserve">) in biomedical research. The weak emission of </w:t>
      </w:r>
      <w:proofErr w:type="spellStart"/>
      <w:r>
        <w:rPr>
          <w:color w:val="000000"/>
          <w:sz w:val="24"/>
          <w:szCs w:val="24"/>
        </w:rPr>
        <w:t>AIEgens</w:t>
      </w:r>
      <w:proofErr w:type="spellEnd"/>
      <w:r>
        <w:rPr>
          <w:color w:val="000000"/>
          <w:sz w:val="24"/>
          <w:szCs w:val="24"/>
        </w:rPr>
        <w:t xml:space="preserve"> as molecular species and their bright luminescence as nanoscopic aggregates disting</w:t>
      </w:r>
      <w:r>
        <w:rPr>
          <w:color w:val="000000"/>
          <w:sz w:val="24"/>
          <w:szCs w:val="24"/>
        </w:rPr>
        <w:t xml:space="preserve">uish them from conventional organic luminophores and inorganic nanoparticles, making them wonderful candidates for many high-tech applications. In this talk, we summarize our recent AIE work in the development of new fluorescent </w:t>
      </w:r>
      <w:proofErr w:type="spellStart"/>
      <w:r>
        <w:rPr>
          <w:color w:val="000000"/>
          <w:sz w:val="24"/>
          <w:szCs w:val="24"/>
        </w:rPr>
        <w:t>bioprobes</w:t>
      </w:r>
      <w:proofErr w:type="spellEnd"/>
      <w:r>
        <w:rPr>
          <w:color w:val="000000"/>
          <w:sz w:val="24"/>
          <w:szCs w:val="24"/>
        </w:rPr>
        <w:t xml:space="preserve"> for biosensing an</w:t>
      </w:r>
      <w:r>
        <w:rPr>
          <w:color w:val="000000"/>
          <w:sz w:val="24"/>
          <w:szCs w:val="24"/>
        </w:rPr>
        <w:t xml:space="preserve">d imaging.[1,2] The simple design and fluorescence turn-on feature of the molecular AIE </w:t>
      </w:r>
      <w:proofErr w:type="spellStart"/>
      <w:r>
        <w:rPr>
          <w:color w:val="000000"/>
          <w:sz w:val="24"/>
          <w:szCs w:val="24"/>
        </w:rPr>
        <w:t>bioprobes</w:t>
      </w:r>
      <w:proofErr w:type="spellEnd"/>
      <w:r>
        <w:rPr>
          <w:color w:val="000000"/>
          <w:sz w:val="24"/>
          <w:szCs w:val="24"/>
        </w:rPr>
        <w:t xml:space="preserve"> offer direct visualization of specific analytes and biological processes in aqueous media with higher sensitivity and better accuracy than traditional fluores</w:t>
      </w:r>
      <w:r>
        <w:rPr>
          <w:color w:val="000000"/>
          <w:sz w:val="24"/>
          <w:szCs w:val="24"/>
        </w:rPr>
        <w:t>cence turn-off probes. The AIE dot probes with different formulations and surface functionalities show advanced features over quantum dots and small molecule dyes in noninvasive cancer cell detection, long term cell tracing, and vascular imaging.[3] In add</w:t>
      </w:r>
      <w:r>
        <w:rPr>
          <w:color w:val="000000"/>
          <w:sz w:val="24"/>
          <w:szCs w:val="24"/>
        </w:rPr>
        <w:t xml:space="preserve">ition, our recent discovery that </w:t>
      </w:r>
      <w:proofErr w:type="spellStart"/>
      <w:r>
        <w:rPr>
          <w:color w:val="000000"/>
          <w:sz w:val="24"/>
          <w:szCs w:val="24"/>
        </w:rPr>
        <w:t>AIEgens</w:t>
      </w:r>
      <w:proofErr w:type="spellEnd"/>
      <w:r>
        <w:rPr>
          <w:color w:val="000000"/>
          <w:sz w:val="24"/>
          <w:szCs w:val="24"/>
        </w:rPr>
        <w:t xml:space="preserve"> with high brightness and efficient reactive oxygen species generation in aggregate state further expanded their applications to image-guided cancer surgery and therapy.</w:t>
      </w:r>
    </w:p>
    <w:p w14:paraId="3160C3E3" w14:textId="77777777" w:rsidR="008F7BC7" w:rsidRDefault="008F7BC7">
      <w:pPr>
        <w:pBdr>
          <w:top w:val="nil"/>
          <w:left w:val="nil"/>
          <w:bottom w:val="nil"/>
          <w:right w:val="nil"/>
          <w:between w:val="nil"/>
        </w:pBdr>
        <w:jc w:val="both"/>
        <w:rPr>
          <w:color w:val="000000"/>
          <w:sz w:val="24"/>
          <w:szCs w:val="24"/>
        </w:rPr>
      </w:pPr>
    </w:p>
    <w:p w14:paraId="6847B826" w14:textId="77777777" w:rsidR="008F7BC7" w:rsidRDefault="008760BC">
      <w:pPr>
        <w:pBdr>
          <w:top w:val="nil"/>
          <w:left w:val="nil"/>
          <w:bottom w:val="nil"/>
          <w:right w:val="nil"/>
          <w:between w:val="nil"/>
        </w:pBdr>
        <w:jc w:val="both"/>
        <w:rPr>
          <w:color w:val="000000"/>
          <w:sz w:val="24"/>
          <w:szCs w:val="24"/>
        </w:rPr>
      </w:pPr>
      <w:r>
        <w:rPr>
          <w:color w:val="000000"/>
          <w:sz w:val="24"/>
          <w:szCs w:val="24"/>
        </w:rPr>
        <w:t>References:</w:t>
      </w:r>
    </w:p>
    <w:p w14:paraId="22707E18" w14:textId="77777777" w:rsidR="008F7BC7" w:rsidRDefault="008760BC">
      <w:pPr>
        <w:pBdr>
          <w:top w:val="nil"/>
          <w:left w:val="nil"/>
          <w:bottom w:val="nil"/>
          <w:right w:val="nil"/>
          <w:between w:val="nil"/>
        </w:pBdr>
        <w:jc w:val="both"/>
        <w:rPr>
          <w:color w:val="000000"/>
          <w:sz w:val="24"/>
          <w:szCs w:val="24"/>
        </w:rPr>
      </w:pPr>
      <w:r>
        <w:rPr>
          <w:color w:val="000000"/>
          <w:sz w:val="24"/>
          <w:szCs w:val="24"/>
        </w:rPr>
        <w:t>1.         D. Ding, K. Li, B. Liu</w:t>
      </w:r>
      <w:r>
        <w:rPr>
          <w:color w:val="000000"/>
          <w:sz w:val="24"/>
          <w:szCs w:val="24"/>
        </w:rPr>
        <w:t>, and B. Z. Tang, Acc. Chem. Res. 2013, 46, 2441–2453.</w:t>
      </w:r>
    </w:p>
    <w:p w14:paraId="50A234F6" w14:textId="77777777" w:rsidR="008F7BC7" w:rsidRDefault="008760BC">
      <w:pPr>
        <w:pBdr>
          <w:top w:val="nil"/>
          <w:left w:val="nil"/>
          <w:bottom w:val="nil"/>
          <w:right w:val="nil"/>
          <w:between w:val="nil"/>
        </w:pBdr>
        <w:jc w:val="both"/>
        <w:rPr>
          <w:color w:val="000000"/>
          <w:sz w:val="24"/>
          <w:szCs w:val="24"/>
        </w:rPr>
      </w:pPr>
      <w:r>
        <w:rPr>
          <w:color w:val="000000"/>
          <w:sz w:val="24"/>
          <w:szCs w:val="24"/>
        </w:rPr>
        <w:t>2.         J. Liang, B. Z. Tang, and B. Liu, Chem. Soc. Rev. 2015, 44, 2798–2811.</w:t>
      </w:r>
    </w:p>
    <w:p w14:paraId="79D69DD3" w14:textId="77777777" w:rsidR="008F7BC7" w:rsidRDefault="008760BC">
      <w:pPr>
        <w:pBdr>
          <w:top w:val="nil"/>
          <w:left w:val="nil"/>
          <w:bottom w:val="nil"/>
          <w:right w:val="nil"/>
          <w:between w:val="nil"/>
        </w:pBdr>
        <w:jc w:val="both"/>
        <w:rPr>
          <w:color w:val="000000"/>
          <w:sz w:val="24"/>
          <w:szCs w:val="24"/>
        </w:rPr>
      </w:pPr>
      <w:r>
        <w:rPr>
          <w:color w:val="000000"/>
          <w:sz w:val="24"/>
          <w:szCs w:val="24"/>
        </w:rPr>
        <w:t>3.         K. Li and B. Liu, Chem. Soc. Rev. 2014, 43, 6570–6597.</w:t>
      </w:r>
    </w:p>
    <w:sectPr w:rsidR="008F7BC7">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C7"/>
    <w:rsid w:val="008760BC"/>
    <w:rsid w:val="008F7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04BC"/>
  <w15:docId w15:val="{3242BFF7-6EEA-476E-904F-8AB08DD4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
    <w:name w:val="正文"/>
    <w:pPr>
      <w:suppressAutoHyphens/>
      <w:spacing w:line="1" w:lineRule="atLeast"/>
      <w:ind w:leftChars="-1" w:left="-1" w:hangingChars="1" w:hanging="1"/>
      <w:textDirection w:val="btLr"/>
      <w:textAlignment w:val="top"/>
      <w:outlineLvl w:val="0"/>
    </w:pPr>
    <w:rPr>
      <w:position w:val="-1"/>
      <w:sz w:val="24"/>
      <w:szCs w:val="24"/>
      <w:lang w:eastAsia="ko-KR"/>
    </w:rPr>
  </w:style>
  <w:style w:type="character" w:customStyle="1" w:styleId="a0">
    <w:name w:val="默认段落字体"/>
    <w:rPr>
      <w:w w:val="100"/>
      <w:position w:val="-1"/>
      <w:effect w:val="none"/>
      <w:vertAlign w:val="baseline"/>
      <w:cs w:val="0"/>
      <w:em w:val="none"/>
    </w:rPr>
  </w:style>
  <w:style w:type="table" w:customStyle="1" w:styleId="a1">
    <w:name w:val="普通表格"/>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2">
    <w:name w:val="无列表"/>
  </w:style>
  <w:style w:type="table" w:customStyle="1" w:styleId="a3">
    <w:name w:val="网格型"/>
    <w:basedOn w:val="a1"/>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强调"/>
    <w:rPr>
      <w:i/>
      <w:w w:val="100"/>
      <w:position w:val="-1"/>
      <w:effect w:val="none"/>
      <w:vertAlign w:val="baseline"/>
      <w:cs w:val="0"/>
      <w:em w:val="none"/>
    </w:rPr>
  </w:style>
  <w:style w:type="paragraph" w:customStyle="1" w:styleId="style23">
    <w:name w:val="style23"/>
    <w:basedOn w:val="a"/>
    <w:pPr>
      <w:spacing w:beforeLines="1" w:afterLines="1"/>
    </w:pPr>
    <w:rPr>
      <w:rFonts w:ascii="Times" w:eastAsia="Cambria" w:hAnsi="Times"/>
      <w:sz w:val="20"/>
      <w:szCs w:val="20"/>
    </w:rPr>
  </w:style>
  <w:style w:type="character" w:customStyle="1" w:styleId="a5">
    <w:name w:val="要点"/>
    <w:rPr>
      <w:b/>
      <w:w w:val="100"/>
      <w:position w:val="-1"/>
      <w:effect w:val="none"/>
      <w:vertAlign w:val="baseline"/>
      <w:cs w:val="0"/>
      <w:em w:val="none"/>
    </w:rPr>
  </w:style>
  <w:style w:type="paragraph" w:customStyle="1" w:styleId="Normal15pt">
    <w:name w:val="Normal + 15 pt"/>
    <w:aliases w:val="Bold"/>
    <w:basedOn w:val="a"/>
    <w:pPr>
      <w:spacing w:line="360" w:lineRule="auto"/>
    </w:pPr>
    <w:rPr>
      <w:b/>
      <w:sz w:val="28"/>
      <w:szCs w:val="28"/>
    </w:rPr>
  </w:style>
  <w:style w:type="character" w:customStyle="1" w:styleId="a6">
    <w:name w:val="超链接"/>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Chong Kok Chan</dc:creator>
  <cp:lastModifiedBy>Chong Kok Chan</cp:lastModifiedBy>
  <cp:revision>2</cp:revision>
  <dcterms:created xsi:type="dcterms:W3CDTF">2019-09-18T09:10:00Z</dcterms:created>
  <dcterms:modified xsi:type="dcterms:W3CDTF">2019-09-18T09:10:00Z</dcterms:modified>
</cp:coreProperties>
</file>