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8679" w14:textId="4E42FA88" w:rsidR="00D74979" w:rsidRPr="00734E31" w:rsidRDefault="09F69A34" w:rsidP="5DC9F887">
      <w:pPr>
        <w:spacing w:after="0" w:line="240" w:lineRule="auto"/>
        <w:rPr>
          <w:rFonts w:ascii="Arial" w:eastAsia="Calibri" w:hAnsi="Arial" w:cs="Calibri"/>
          <w:b/>
          <w:kern w:val="0"/>
          <w:lang w:val="en-US"/>
          <w14:ligatures w14:val="none"/>
        </w:rPr>
      </w:pPr>
      <w:r w:rsidRPr="5DC9F887">
        <w:rPr>
          <w:rFonts w:ascii="Arial" w:eastAsia="Calibri" w:hAnsi="Arial" w:cs="Calibri"/>
          <w:b/>
          <w:bCs/>
          <w:i/>
          <w:iCs/>
          <w:kern w:val="0"/>
          <w:lang w:val="en-US"/>
          <w14:ligatures w14:val="none"/>
        </w:rPr>
        <w:t>In Silico</w:t>
      </w:r>
      <w:r w:rsidRPr="00734E31">
        <w:rPr>
          <w:rFonts w:ascii="Arial" w:eastAsia="Calibri" w:hAnsi="Arial" w:cs="Calibri"/>
          <w:b/>
          <w:kern w:val="0"/>
          <w:lang w:val="en-US"/>
          <w14:ligatures w14:val="none"/>
        </w:rPr>
        <w:t xml:space="preserve"> </w:t>
      </w:r>
      <w:r w:rsidR="248FC3A3" w:rsidRPr="00734E31">
        <w:rPr>
          <w:rFonts w:ascii="Arial" w:eastAsia="Calibri" w:hAnsi="Arial" w:cs="Calibri"/>
          <w:b/>
          <w:kern w:val="0"/>
          <w:lang w:val="en-US"/>
          <w14:ligatures w14:val="none"/>
        </w:rPr>
        <w:t xml:space="preserve">Analysis </w:t>
      </w:r>
      <w:r w:rsidR="007C2C7A">
        <w:rPr>
          <w:rFonts w:ascii="Arial" w:eastAsia="Calibri" w:hAnsi="Arial" w:cs="Calibri"/>
          <w:b/>
          <w:kern w:val="0"/>
          <w:lang w:val="en-US"/>
          <w14:ligatures w14:val="none"/>
        </w:rPr>
        <w:t>o</w:t>
      </w:r>
      <w:r w:rsidR="248FC3A3" w:rsidRPr="00734E31">
        <w:rPr>
          <w:rFonts w:ascii="Arial" w:eastAsia="Calibri" w:hAnsi="Arial" w:cs="Calibri"/>
          <w:b/>
          <w:kern w:val="0"/>
          <w:lang w:val="en-US"/>
          <w14:ligatures w14:val="none"/>
        </w:rPr>
        <w:t xml:space="preserve">f Gene Interaction Networks </w:t>
      </w:r>
      <w:r w:rsidR="007C2C7A">
        <w:rPr>
          <w:rFonts w:ascii="Arial" w:eastAsia="Calibri" w:hAnsi="Arial" w:cs="Calibri"/>
          <w:b/>
          <w:kern w:val="0"/>
          <w:lang w:val="en-US"/>
          <w14:ligatures w14:val="none"/>
        </w:rPr>
        <w:t>f</w:t>
      </w:r>
      <w:r w:rsidR="248FC3A3" w:rsidRPr="00734E31">
        <w:rPr>
          <w:rFonts w:ascii="Arial" w:eastAsia="Calibri" w:hAnsi="Arial" w:cs="Calibri"/>
          <w:b/>
          <w:kern w:val="0"/>
          <w:lang w:val="en-US"/>
          <w14:ligatures w14:val="none"/>
        </w:rPr>
        <w:t>or Personalized Skin Aging Therapy</w:t>
      </w:r>
    </w:p>
    <w:p w14:paraId="79141BD9" w14:textId="7001677C" w:rsidR="00D74979" w:rsidRDefault="4C5570C5" w:rsidP="5DC9F887">
      <w:pPr>
        <w:spacing w:after="0" w:line="240" w:lineRule="auto"/>
        <w:rPr>
          <w:rFonts w:ascii="Arial" w:eastAsia="Calibri" w:hAnsi="Arial" w:cs="Calibri"/>
          <w:kern w:val="0"/>
          <w:sz w:val="20"/>
          <w:szCs w:val="20"/>
          <w14:ligatures w14:val="none"/>
        </w:rPr>
      </w:pPr>
      <w:r w:rsidRPr="5DC9F887">
        <w:rPr>
          <w:rFonts w:ascii="Arial" w:eastAsia="Calibri" w:hAnsi="Arial" w:cs="Calibri"/>
          <w:b/>
          <w:bCs/>
          <w:kern w:val="0"/>
          <w:sz w:val="20"/>
          <w:szCs w:val="20"/>
          <w:u w:val="single"/>
          <w14:ligatures w14:val="none"/>
        </w:rPr>
        <w:t>Tim Thi Kim Nguyen</w:t>
      </w:r>
      <w:r w:rsidR="0092196A" w:rsidRPr="0092196A">
        <w:rPr>
          <w:rFonts w:ascii="Arial" w:eastAsia="Calibri" w:hAnsi="Arial" w:cs="Calibri"/>
          <w:b/>
          <w:bCs/>
          <w:kern w:val="0"/>
          <w:sz w:val="20"/>
          <w:szCs w:val="20"/>
          <w:u w:val="single"/>
          <w:vertAlign w:val="superscript"/>
          <w14:ligatures w14:val="none"/>
        </w:rPr>
        <w:t>1</w:t>
      </w:r>
      <w:r w:rsidR="00C315D2" w:rsidRPr="5DC9F887">
        <w:rPr>
          <w:rFonts w:ascii="Arial" w:eastAsia="Calibri" w:hAnsi="Arial" w:cs="Calibri"/>
          <w:kern w:val="0"/>
          <w:sz w:val="20"/>
          <w:szCs w:val="20"/>
          <w14:ligatures w14:val="none"/>
        </w:rPr>
        <w:t xml:space="preserve">, </w:t>
      </w:r>
      <w:r w:rsidR="226EB6AA" w:rsidRPr="5DC9F887">
        <w:rPr>
          <w:rFonts w:ascii="Arial" w:eastAsia="Calibri" w:hAnsi="Arial" w:cs="Calibri"/>
          <w:sz w:val="20"/>
          <w:szCs w:val="20"/>
        </w:rPr>
        <w:t>Phuong Thuy Viet Nguyen</w:t>
      </w:r>
      <w:r w:rsidR="0092196A" w:rsidRPr="0092196A">
        <w:rPr>
          <w:rFonts w:ascii="Arial" w:eastAsia="Calibri" w:hAnsi="Arial" w:cs="Calibri"/>
          <w:sz w:val="20"/>
          <w:szCs w:val="20"/>
          <w:vertAlign w:val="superscript"/>
        </w:rPr>
        <w:t>1</w:t>
      </w:r>
      <w:r w:rsidR="226EB6AA" w:rsidRPr="5DC9F887">
        <w:rPr>
          <w:rFonts w:ascii="Arial" w:eastAsia="Calibri" w:hAnsi="Arial" w:cs="Calibri"/>
          <w:sz w:val="20"/>
          <w:szCs w:val="20"/>
        </w:rPr>
        <w:t xml:space="preserve">, </w:t>
      </w:r>
      <w:r w:rsidR="012275ED" w:rsidRPr="5DC9F887">
        <w:rPr>
          <w:rFonts w:ascii="Arial" w:eastAsia="Calibri" w:hAnsi="Arial" w:cs="Calibri"/>
          <w:sz w:val="20"/>
          <w:szCs w:val="20"/>
        </w:rPr>
        <w:t>Quyen Hai Nguyen</w:t>
      </w:r>
      <w:r w:rsidR="00B467E7" w:rsidRPr="0092196A">
        <w:rPr>
          <w:rFonts w:ascii="Arial" w:eastAsia="Calibri" w:hAnsi="Arial" w:cs="Calibri"/>
          <w:sz w:val="20"/>
          <w:szCs w:val="20"/>
          <w:vertAlign w:val="superscript"/>
        </w:rPr>
        <w:t>1</w:t>
      </w:r>
      <w:r w:rsidR="012275ED" w:rsidRPr="5DC9F887">
        <w:rPr>
          <w:rFonts w:ascii="Arial" w:eastAsia="Calibri" w:hAnsi="Arial" w:cs="Calibri"/>
          <w:sz w:val="20"/>
          <w:szCs w:val="20"/>
        </w:rPr>
        <w:t>, Quoc Binh Nguyen</w:t>
      </w:r>
      <w:r w:rsidR="00B467E7" w:rsidRPr="0092196A">
        <w:rPr>
          <w:rFonts w:ascii="Arial" w:eastAsia="Calibri" w:hAnsi="Arial" w:cs="Calibri"/>
          <w:sz w:val="20"/>
          <w:szCs w:val="20"/>
          <w:vertAlign w:val="superscript"/>
        </w:rPr>
        <w:t>1</w:t>
      </w:r>
      <w:r w:rsidR="012275ED" w:rsidRPr="5DC9F887">
        <w:rPr>
          <w:rFonts w:ascii="Arial" w:eastAsia="Calibri" w:hAnsi="Arial" w:cs="Calibri"/>
          <w:sz w:val="20"/>
          <w:szCs w:val="20"/>
        </w:rPr>
        <w:t xml:space="preserve">, </w:t>
      </w:r>
      <w:r w:rsidR="00D74979">
        <w:br/>
      </w:r>
      <w:r w:rsidR="012275ED" w:rsidRPr="5DC9F887">
        <w:rPr>
          <w:rFonts w:ascii="Arial" w:eastAsia="Calibri" w:hAnsi="Arial" w:cs="Calibri"/>
          <w:sz w:val="20"/>
          <w:szCs w:val="20"/>
        </w:rPr>
        <w:t xml:space="preserve">Thanh Ngan </w:t>
      </w:r>
      <w:r w:rsidR="438B61FF" w:rsidRPr="5DC9F887">
        <w:rPr>
          <w:rFonts w:ascii="Arial" w:eastAsia="Calibri" w:hAnsi="Arial" w:cs="Calibri"/>
          <w:sz w:val="20"/>
          <w:szCs w:val="20"/>
        </w:rPr>
        <w:t>Nguyen Le</w:t>
      </w:r>
      <w:r w:rsidR="00B467E7" w:rsidRPr="0092196A">
        <w:rPr>
          <w:rFonts w:ascii="Arial" w:eastAsia="Calibri" w:hAnsi="Arial" w:cs="Calibri"/>
          <w:sz w:val="20"/>
          <w:szCs w:val="20"/>
          <w:vertAlign w:val="superscript"/>
        </w:rPr>
        <w:t>1</w:t>
      </w:r>
      <w:r w:rsidR="00C315D2" w:rsidRPr="5DC9F887">
        <w:rPr>
          <w:rFonts w:ascii="Arial" w:eastAsia="Calibri" w:hAnsi="Arial" w:cs="Calibri"/>
          <w:kern w:val="0"/>
          <w:sz w:val="20"/>
          <w:szCs w:val="20"/>
          <w14:ligatures w14:val="none"/>
        </w:rPr>
        <w:t xml:space="preserve"> </w:t>
      </w:r>
    </w:p>
    <w:p w14:paraId="47D76891" w14:textId="32388CDE" w:rsidR="00C315D2" w:rsidRPr="00C4199E" w:rsidRDefault="0A9DEACB" w:rsidP="5DC9F887">
      <w:pPr>
        <w:spacing w:after="0" w:line="240" w:lineRule="auto"/>
        <w:rPr>
          <w:rFonts w:ascii="Arial" w:eastAsia="Calibri" w:hAnsi="Arial" w:cs="Arial"/>
          <w:sz w:val="20"/>
          <w:szCs w:val="20"/>
        </w:rPr>
      </w:pPr>
      <w:r w:rsidRPr="00C4199E">
        <w:rPr>
          <w:rFonts w:ascii="Arial" w:eastAsiaTheme="minorEastAsia" w:hAnsi="Arial" w:cs="Arial"/>
          <w:sz w:val="20"/>
          <w:szCs w:val="20"/>
        </w:rPr>
        <w:t>Department of Pharmaceutical Information Technology, School of Pharmacy – University of Medicine and Pharmacy at Ho chi Minh City</w:t>
      </w:r>
      <w:r w:rsidR="00B467E7" w:rsidRPr="0092196A">
        <w:rPr>
          <w:rFonts w:ascii="Arial" w:eastAsia="Calibri" w:hAnsi="Arial" w:cs="Calibri"/>
          <w:sz w:val="20"/>
          <w:szCs w:val="20"/>
          <w:vertAlign w:val="superscript"/>
        </w:rPr>
        <w:t>1</w:t>
      </w:r>
      <w:r w:rsidRPr="00C4199E">
        <w:rPr>
          <w:rFonts w:ascii="Arial" w:eastAsiaTheme="minorEastAsia" w:hAnsi="Arial" w:cs="Arial"/>
          <w:sz w:val="20"/>
          <w:szCs w:val="20"/>
        </w:rPr>
        <w:t>, Ho Chi Minh City, Vietnam</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5CB65580"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AF1DD5" w:rsidRPr="00AF1DD5">
        <w:rPr>
          <w:rFonts w:ascii="Arial" w:eastAsia="Calibri" w:hAnsi="Arial" w:cs="Calibri"/>
          <w:bCs/>
          <w:kern w:val="0"/>
          <w:sz w:val="20"/>
          <w:szCs w:val="20"/>
          <w14:ligatures w14:val="none"/>
        </w:rPr>
        <w:t>Skin aging is a multifactorial biological process influenced by both genetic and environmental factors.</w:t>
      </w:r>
      <w:r w:rsidR="0084766A">
        <w:rPr>
          <w:rFonts w:ascii="Arial" w:eastAsia="Calibri" w:hAnsi="Arial" w:cs="Calibri"/>
          <w:bCs/>
          <w:kern w:val="0"/>
          <w:sz w:val="20"/>
          <w:szCs w:val="20"/>
          <w14:ligatures w14:val="none"/>
        </w:rPr>
        <w:t xml:space="preserve"> </w:t>
      </w:r>
      <w:r w:rsidR="00AF1DD5" w:rsidRPr="00AF1DD5">
        <w:rPr>
          <w:rFonts w:ascii="Arial" w:eastAsia="Calibri" w:hAnsi="Arial" w:cs="Calibri"/>
          <w:bCs/>
          <w:kern w:val="0"/>
          <w:sz w:val="20"/>
          <w:szCs w:val="20"/>
          <w14:ligatures w14:val="none"/>
        </w:rPr>
        <w:t>Single nucleotide polymorphisms (SNPs) are known to influence gene expression and biological pathways related to skin structure and function. In recent years, senolytic compounds have gained attention for their ability to selectively eliminate senescent cells; however, their application in personalized skin aging therapy remains limited. This study aim</w:t>
      </w:r>
      <w:r w:rsidR="004307DB">
        <w:rPr>
          <w:rFonts w:ascii="Arial" w:eastAsia="Calibri" w:hAnsi="Arial" w:cs="Calibri"/>
          <w:bCs/>
          <w:kern w:val="0"/>
          <w:sz w:val="20"/>
          <w:szCs w:val="20"/>
          <w14:ligatures w14:val="none"/>
        </w:rPr>
        <w:t>ed</w:t>
      </w:r>
      <w:r w:rsidR="00AF1DD5" w:rsidRPr="00AF1DD5">
        <w:rPr>
          <w:rFonts w:ascii="Arial" w:eastAsia="Calibri" w:hAnsi="Arial" w:cs="Calibri"/>
          <w:bCs/>
          <w:kern w:val="0"/>
          <w:sz w:val="20"/>
          <w:szCs w:val="20"/>
          <w14:ligatures w14:val="none"/>
        </w:rPr>
        <w:t xml:space="preserve"> to construct a gene interaction network by analyzing SNP-related genes and to screen potential senolytic compounds, thereby contributing to the development of personalized therapeutic strategies for skin aging.</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3B73DF0A" w14:textId="015EF9AE" w:rsidR="00C315D2" w:rsidRPr="001424E4" w:rsidRDefault="00C315D2" w:rsidP="1EFBA454">
      <w:pPr>
        <w:spacing w:after="0" w:line="240" w:lineRule="auto"/>
        <w:jc w:val="both"/>
        <w:rPr>
          <w:rFonts w:ascii="Arial" w:eastAsia="Arial" w:hAnsi="Arial" w:cs="Arial"/>
          <w:sz w:val="20"/>
          <w:szCs w:val="20"/>
          <w:lang w:val="en-US"/>
        </w:rPr>
      </w:pPr>
      <w:r w:rsidRPr="1EFBA454">
        <w:rPr>
          <w:rFonts w:ascii="Arial" w:eastAsia="Calibri" w:hAnsi="Arial" w:cs="Calibri"/>
          <w:b/>
          <w:bCs/>
          <w:kern w:val="0"/>
          <w:sz w:val="20"/>
          <w:szCs w:val="20"/>
          <w14:ligatures w14:val="none"/>
        </w:rPr>
        <w:t>Methods.</w:t>
      </w:r>
      <w:r w:rsidR="559DAE11" w:rsidRPr="1EFBA454">
        <w:rPr>
          <w:rFonts w:ascii="Arial" w:eastAsia="Calibri" w:hAnsi="Arial" w:cs="Calibri"/>
          <w:b/>
          <w:bCs/>
          <w:kern w:val="0"/>
          <w:sz w:val="20"/>
          <w:szCs w:val="20"/>
          <w14:ligatures w14:val="none"/>
        </w:rPr>
        <w:t xml:space="preserve"> </w:t>
      </w:r>
      <w:r w:rsidR="76046CB1" w:rsidRPr="1EFBA454">
        <w:rPr>
          <w:rFonts w:ascii="Arial" w:eastAsia="Arial" w:hAnsi="Arial" w:cs="Arial"/>
          <w:sz w:val="20"/>
          <w:szCs w:val="20"/>
          <w:lang w:val="vi"/>
        </w:rPr>
        <w:t>The study included 2,386 senolytic compounds obtained from the Selleck Chem L1200 library, along with aging-related skin targets collected from the Ageing Clusters, GEO Datasets, and HGNC databases. The applied methods consisted of constructing a gene interaction network to identify therapeutic targets and potential senolytic compounds for the treatment of skin aging, analyzing genes affected by single nucleotide polymorphisms (SNPs) in Asian skin, performing molecular docking of compound–target complexes using AutoDock Vina and AutoDock4, and conducting molecular dynamics simulations of the selected complexes using GROMACS.</w:t>
      </w:r>
    </w:p>
    <w:p w14:paraId="6F074F2A" w14:textId="7040DA17" w:rsidR="72C38B7D" w:rsidRDefault="72C38B7D" w:rsidP="72C38B7D">
      <w:pPr>
        <w:spacing w:after="0" w:line="240" w:lineRule="auto"/>
        <w:jc w:val="both"/>
        <w:rPr>
          <w:rFonts w:ascii="Arial" w:eastAsia="Arial" w:hAnsi="Arial" w:cs="Arial"/>
          <w:sz w:val="20"/>
          <w:szCs w:val="20"/>
          <w:lang w:val="vi"/>
        </w:rPr>
      </w:pPr>
    </w:p>
    <w:p w14:paraId="1E4E35EF" w14:textId="0AA25D23" w:rsidR="008644B2" w:rsidRPr="00C4199E" w:rsidRDefault="00795378" w:rsidP="00C4199E">
      <w:pPr>
        <w:spacing w:line="276" w:lineRule="auto"/>
        <w:jc w:val="both"/>
        <w:rPr>
          <w:rFonts w:ascii="Arial" w:eastAsia="Arial" w:hAnsi="Arial" w:cs="Arial"/>
          <w:sz w:val="20"/>
          <w:szCs w:val="20"/>
          <w:lang w:val="en-GB"/>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50D7250F" w:rsidRPr="4FD14E91">
        <w:rPr>
          <w:rFonts w:ascii="Arial" w:eastAsia="Arial" w:hAnsi="Arial" w:cs="Arial"/>
          <w:sz w:val="20"/>
          <w:szCs w:val="20"/>
          <w:lang w:val="en-GB"/>
        </w:rPr>
        <w:t>The gene interaction network identified ten target genes, among which TNF, IL6, and MMP9 were specifically associated with SNPs found in Asian skin. Furthermore, K517 (GSK2606414), K1329 (CP 43), and K1720 (AMG-47a) were identified as promising senolytic compounds for the treatment of skin aging due to their strong binding affinities with the investigated targets. The TNF–K517 complex satisfied evaluation parameters in molecular dynamics simulation after 100 nanoseconds.</w:t>
      </w:r>
    </w:p>
    <w:p w14:paraId="65E846CD" w14:textId="0E15837C" w:rsidR="00C315D2" w:rsidRPr="00C315D2" w:rsidRDefault="00B8473A" w:rsidP="5DC9F887">
      <w:pPr>
        <w:spacing w:after="0" w:line="240" w:lineRule="auto"/>
        <w:jc w:val="both"/>
        <w:rPr>
          <w:rFonts w:ascii="Arial" w:eastAsia="Calibri" w:hAnsi="Arial" w:cs="Calibri"/>
          <w:kern w:val="0"/>
          <w:sz w:val="20"/>
          <w:szCs w:val="20"/>
          <w:lang w:val="en-US"/>
          <w14:ligatures w14:val="none"/>
        </w:rPr>
      </w:pPr>
      <w:r w:rsidRPr="1C26DECE">
        <w:rPr>
          <w:rFonts w:ascii="Arial" w:eastAsia="Calibri" w:hAnsi="Arial" w:cs="Calibri"/>
          <w:b/>
          <w:bCs/>
          <w:kern w:val="0"/>
          <w:sz w:val="20"/>
          <w:szCs w:val="20"/>
          <w14:ligatures w14:val="none"/>
        </w:rPr>
        <w:t>Conclusion/</w:t>
      </w:r>
      <w:r w:rsidR="00C315D2" w:rsidRPr="1C26DECE">
        <w:rPr>
          <w:rFonts w:ascii="Arial" w:eastAsia="Calibri" w:hAnsi="Arial" w:cs="Calibri"/>
          <w:b/>
          <w:bCs/>
          <w:kern w:val="0"/>
          <w:sz w:val="20"/>
          <w:szCs w:val="20"/>
          <w14:ligatures w14:val="none"/>
        </w:rPr>
        <w:t>Discussion.</w:t>
      </w:r>
      <w:r w:rsidR="6F510820" w:rsidRPr="1C26DECE">
        <w:rPr>
          <w:rFonts w:ascii="Arial" w:eastAsia="Calibri" w:hAnsi="Arial" w:cs="Calibri"/>
          <w:b/>
          <w:bCs/>
          <w:kern w:val="0"/>
          <w:sz w:val="20"/>
          <w:szCs w:val="20"/>
          <w14:ligatures w14:val="none"/>
        </w:rPr>
        <w:t xml:space="preserve"> </w:t>
      </w:r>
      <w:r w:rsidR="6F510820" w:rsidRPr="795E3304">
        <w:rPr>
          <w:rFonts w:ascii="Arial" w:eastAsia="Arial" w:hAnsi="Arial" w:cs="Arial"/>
          <w:sz w:val="20"/>
          <w:szCs w:val="20"/>
        </w:rPr>
        <w:t>The study highlight</w:t>
      </w:r>
      <w:r w:rsidR="006013AA">
        <w:rPr>
          <w:rFonts w:ascii="Arial" w:eastAsia="Arial" w:hAnsi="Arial" w:cs="Arial"/>
          <w:sz w:val="20"/>
          <w:szCs w:val="20"/>
        </w:rPr>
        <w:t>ed</w:t>
      </w:r>
      <w:r w:rsidR="6F510820" w:rsidRPr="795E3304">
        <w:rPr>
          <w:rFonts w:ascii="Arial" w:eastAsia="Arial" w:hAnsi="Arial" w:cs="Arial"/>
          <w:sz w:val="20"/>
          <w:szCs w:val="20"/>
        </w:rPr>
        <w:t xml:space="preserve"> three SNP-related genes and identifies promising senolytic compounds through </w:t>
      </w:r>
      <w:r w:rsidR="6F510820" w:rsidRPr="00B50CB4">
        <w:rPr>
          <w:rFonts w:ascii="Arial" w:eastAsia="Arial" w:hAnsi="Arial" w:cs="Arial"/>
          <w:i/>
          <w:iCs/>
          <w:sz w:val="20"/>
          <w:szCs w:val="20"/>
        </w:rPr>
        <w:t>in silico</w:t>
      </w:r>
      <w:r w:rsidR="6F510820" w:rsidRPr="795E3304">
        <w:rPr>
          <w:rFonts w:ascii="Arial" w:eastAsia="Arial" w:hAnsi="Arial" w:cs="Arial"/>
          <w:sz w:val="20"/>
          <w:szCs w:val="20"/>
        </w:rPr>
        <w:t xml:space="preserve"> methods. TNF–K517 demonstrated stable binding, suggesting its potential application in personalized therapy for skin aging.</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72E16DF6" w:rsidR="00437C12" w:rsidRDefault="00C315D2" w:rsidP="00437C12">
      <w:pPr>
        <w:spacing w:after="0" w:line="240" w:lineRule="auto"/>
        <w:jc w:val="both"/>
        <w:rPr>
          <w:rFonts w:ascii="Arial" w:eastAsia="Calibri" w:hAnsi="Arial" w:cs="Calibri"/>
          <w:b/>
          <w:kern w:val="0"/>
          <w:sz w:val="20"/>
          <w:szCs w:val="20"/>
          <w14:ligatures w14:val="none"/>
        </w:rPr>
      </w:pPr>
      <w:r w:rsidRPr="00C315D2">
        <w:rPr>
          <w:rFonts w:ascii="Arial" w:eastAsia="Calibri" w:hAnsi="Arial" w:cs="Calibri"/>
          <w:b/>
          <w:kern w:val="0"/>
          <w:sz w:val="20"/>
          <w:szCs w:val="20"/>
          <w14:ligatures w14:val="none"/>
        </w:rPr>
        <w:t>References</w:t>
      </w:r>
      <w:r w:rsidR="00437C12">
        <w:rPr>
          <w:rFonts w:ascii="Arial" w:eastAsia="Calibri" w:hAnsi="Arial" w:cs="Calibri"/>
          <w:b/>
          <w:kern w:val="0"/>
          <w:sz w:val="20"/>
          <w:szCs w:val="20"/>
          <w14:ligatures w14:val="none"/>
        </w:rPr>
        <w:t>.</w:t>
      </w:r>
    </w:p>
    <w:p w14:paraId="2862E159" w14:textId="77777777" w:rsidR="00437C12" w:rsidRPr="00437C12" w:rsidRDefault="00437C12" w:rsidP="00437C12">
      <w:pPr>
        <w:pStyle w:val="EndNoteBibliography"/>
        <w:numPr>
          <w:ilvl w:val="0"/>
          <w:numId w:val="2"/>
        </w:numPr>
        <w:spacing w:after="0" w:line="276" w:lineRule="auto"/>
        <w:ind w:left="567"/>
        <w:rPr>
          <w:rFonts w:ascii="Arial" w:hAnsi="Arial" w:cs="Arial"/>
          <w:noProof/>
          <w:sz w:val="20"/>
          <w:szCs w:val="20"/>
        </w:rPr>
      </w:pPr>
      <w:r w:rsidRPr="00437C12">
        <w:rPr>
          <w:rFonts w:ascii="Arial" w:hAnsi="Arial" w:cs="Arial"/>
          <w:noProof/>
          <w:sz w:val="20"/>
          <w:szCs w:val="20"/>
          <w:lang w:val="vi-VN"/>
        </w:rPr>
        <w:t>Hahnel E, Lichterfeld A, Blume-Peytavi U, Kottner J</w:t>
      </w:r>
      <w:r w:rsidRPr="00437C12">
        <w:rPr>
          <w:rFonts w:ascii="Arial" w:hAnsi="Arial" w:cs="Arial"/>
          <w:noProof/>
          <w:sz w:val="20"/>
          <w:szCs w:val="20"/>
        </w:rPr>
        <w:t xml:space="preserve">. </w:t>
      </w:r>
      <w:r w:rsidRPr="00437C12">
        <w:rPr>
          <w:rFonts w:ascii="Arial" w:hAnsi="Arial" w:cs="Arial"/>
          <w:iCs/>
          <w:noProof/>
          <w:sz w:val="20"/>
          <w:szCs w:val="20"/>
        </w:rPr>
        <w:t>The epidemiology of skin conditions in the aged: A systematic review.</w:t>
      </w:r>
      <w:r w:rsidRPr="00437C12">
        <w:rPr>
          <w:rFonts w:ascii="Arial" w:hAnsi="Arial" w:cs="Arial"/>
          <w:noProof/>
          <w:sz w:val="20"/>
          <w:szCs w:val="20"/>
        </w:rPr>
        <w:t xml:space="preserve"> </w:t>
      </w:r>
      <w:r w:rsidRPr="00437C12">
        <w:rPr>
          <w:rFonts w:ascii="Arial" w:hAnsi="Arial" w:cs="Arial"/>
          <w:i/>
          <w:iCs/>
          <w:noProof/>
          <w:sz w:val="20"/>
          <w:szCs w:val="20"/>
        </w:rPr>
        <w:t>J Tissue Viability</w:t>
      </w:r>
      <w:r w:rsidRPr="00437C12">
        <w:rPr>
          <w:rFonts w:ascii="Arial" w:hAnsi="Arial" w:cs="Arial"/>
          <w:noProof/>
          <w:sz w:val="20"/>
          <w:szCs w:val="20"/>
        </w:rPr>
        <w:t>, 2017; 26(1): p. 20-28.</w:t>
      </w:r>
    </w:p>
    <w:p w14:paraId="746BEC1F" w14:textId="77777777" w:rsidR="00437C12" w:rsidRPr="00437C12" w:rsidRDefault="00437C12" w:rsidP="00437C12">
      <w:pPr>
        <w:pStyle w:val="EndNoteBibliography"/>
        <w:numPr>
          <w:ilvl w:val="0"/>
          <w:numId w:val="2"/>
        </w:numPr>
        <w:spacing w:after="0" w:line="276" w:lineRule="auto"/>
        <w:ind w:left="567"/>
        <w:rPr>
          <w:rFonts w:ascii="Arial" w:hAnsi="Arial" w:cs="Arial"/>
          <w:noProof/>
          <w:sz w:val="20"/>
          <w:szCs w:val="20"/>
        </w:rPr>
      </w:pPr>
      <w:r w:rsidRPr="00437C12">
        <w:rPr>
          <w:rFonts w:ascii="Arial" w:hAnsi="Arial" w:cs="Arial"/>
          <w:noProof/>
          <w:sz w:val="20"/>
          <w:szCs w:val="20"/>
        </w:rPr>
        <w:t xml:space="preserve">Tsitsipatis, D., </w:t>
      </w:r>
      <w:r w:rsidRPr="00437C12">
        <w:rPr>
          <w:rFonts w:ascii="Arial" w:hAnsi="Arial" w:cs="Arial"/>
          <w:noProof/>
          <w:sz w:val="20"/>
          <w:szCs w:val="20"/>
          <w:lang w:val="vi-VN"/>
        </w:rPr>
        <w:t> Martindale JL, Ubaida-Mohien C</w:t>
      </w:r>
      <w:r w:rsidRPr="00437C12">
        <w:rPr>
          <w:rFonts w:ascii="Arial" w:hAnsi="Arial" w:cs="Arial"/>
          <w:noProof/>
          <w:sz w:val="20"/>
          <w:szCs w:val="20"/>
          <w:lang w:val="en-US"/>
        </w:rPr>
        <w:t xml:space="preserve">, </w:t>
      </w:r>
      <w:r w:rsidRPr="00437C12">
        <w:rPr>
          <w:rFonts w:ascii="Arial" w:hAnsi="Arial" w:cs="Arial"/>
          <w:noProof/>
          <w:sz w:val="20"/>
          <w:szCs w:val="20"/>
        </w:rPr>
        <w:t xml:space="preserve">et al., </w:t>
      </w:r>
      <w:r w:rsidRPr="00437C12">
        <w:rPr>
          <w:rFonts w:ascii="Arial" w:hAnsi="Arial" w:cs="Arial"/>
          <w:iCs/>
          <w:noProof/>
          <w:sz w:val="20"/>
          <w:szCs w:val="20"/>
        </w:rPr>
        <w:t xml:space="preserve">Proteomes of primary skin fibroblasts from healthy individuals reveal altered cell responses across the life span. </w:t>
      </w:r>
      <w:r w:rsidRPr="00437C12">
        <w:rPr>
          <w:rFonts w:ascii="Arial" w:hAnsi="Arial" w:cs="Arial"/>
          <w:i/>
          <w:iCs/>
          <w:noProof/>
          <w:sz w:val="20"/>
          <w:szCs w:val="20"/>
        </w:rPr>
        <w:t>Aging Cell</w:t>
      </w:r>
      <w:r w:rsidRPr="00437C12">
        <w:rPr>
          <w:rFonts w:ascii="Arial" w:hAnsi="Arial" w:cs="Arial"/>
          <w:noProof/>
          <w:sz w:val="20"/>
          <w:szCs w:val="20"/>
        </w:rPr>
        <w:t>, 2022; 21(5): p. e13609.</w:t>
      </w:r>
    </w:p>
    <w:p w14:paraId="6B4E4477" w14:textId="77777777" w:rsidR="00437C12" w:rsidRPr="00437C12" w:rsidRDefault="00437C12" w:rsidP="00437C12">
      <w:pPr>
        <w:pStyle w:val="EndNoteBibliography"/>
        <w:numPr>
          <w:ilvl w:val="0"/>
          <w:numId w:val="2"/>
        </w:numPr>
        <w:spacing w:after="0" w:line="276" w:lineRule="auto"/>
        <w:ind w:left="567"/>
        <w:rPr>
          <w:rFonts w:ascii="Arial" w:hAnsi="Arial" w:cs="Arial"/>
          <w:noProof/>
          <w:sz w:val="20"/>
          <w:szCs w:val="20"/>
        </w:rPr>
      </w:pPr>
      <w:r w:rsidRPr="00437C12">
        <w:rPr>
          <w:rFonts w:ascii="Arial" w:hAnsi="Arial" w:cs="Arial"/>
          <w:noProof/>
          <w:sz w:val="20"/>
          <w:szCs w:val="20"/>
          <w:lang w:val="vi-VN"/>
        </w:rPr>
        <w:t>Khojah H, Ahmed SR, Alharbi SY</w:t>
      </w:r>
      <w:r w:rsidRPr="00437C12">
        <w:rPr>
          <w:rFonts w:ascii="Arial" w:hAnsi="Arial" w:cs="Arial"/>
          <w:noProof/>
          <w:sz w:val="20"/>
          <w:szCs w:val="20"/>
          <w:lang w:val="en-US"/>
        </w:rPr>
        <w:t>,</w:t>
      </w:r>
      <w:r w:rsidRPr="00437C12">
        <w:rPr>
          <w:rFonts w:ascii="Arial" w:hAnsi="Arial" w:cs="Arial"/>
          <w:noProof/>
          <w:sz w:val="20"/>
          <w:szCs w:val="20"/>
        </w:rPr>
        <w:t xml:space="preserve"> et al., </w:t>
      </w:r>
      <w:r w:rsidRPr="00437C12">
        <w:rPr>
          <w:rFonts w:ascii="Arial" w:hAnsi="Arial" w:cs="Arial"/>
          <w:iCs/>
          <w:noProof/>
          <w:sz w:val="20"/>
          <w:szCs w:val="20"/>
        </w:rPr>
        <w:t xml:space="preserve">Skin anti-aging potential of Launaea procumbens extract: Antioxidant and enzyme inhibition activities supported by ADMET and molecular docking studies. </w:t>
      </w:r>
      <w:r w:rsidRPr="00437C12">
        <w:rPr>
          <w:rFonts w:ascii="Arial" w:hAnsi="Arial" w:cs="Arial"/>
          <w:i/>
          <w:iCs/>
          <w:noProof/>
          <w:sz w:val="20"/>
          <w:szCs w:val="20"/>
        </w:rPr>
        <w:t>Saudi Pharmaceutical Journal</w:t>
      </w:r>
      <w:r w:rsidRPr="00437C12">
        <w:rPr>
          <w:rFonts w:ascii="Arial" w:hAnsi="Arial" w:cs="Arial"/>
          <w:noProof/>
          <w:sz w:val="20"/>
          <w:szCs w:val="20"/>
        </w:rPr>
        <w:t>, 2024; 32(7): p. 102107.</w:t>
      </w:r>
    </w:p>
    <w:p w14:paraId="009AAFFF" w14:textId="11613475" w:rsidR="00C4199E" w:rsidRPr="0016638B" w:rsidRDefault="0046113A" w:rsidP="0016638B">
      <w:pPr>
        <w:pStyle w:val="EndNoteBibliography"/>
        <w:numPr>
          <w:ilvl w:val="0"/>
          <w:numId w:val="2"/>
        </w:numPr>
        <w:spacing w:after="0" w:line="276" w:lineRule="auto"/>
        <w:ind w:left="567"/>
        <w:rPr>
          <w:rFonts w:ascii="Arial" w:hAnsi="Arial" w:cs="Arial"/>
          <w:noProof/>
          <w:sz w:val="20"/>
          <w:szCs w:val="20"/>
          <w:lang w:val="vi-VN"/>
        </w:rPr>
      </w:pPr>
      <w:r w:rsidRPr="0046113A">
        <w:rPr>
          <w:rFonts w:ascii="Arial" w:hAnsi="Arial" w:cs="Arial"/>
          <w:noProof/>
          <w:sz w:val="20"/>
          <w:szCs w:val="20"/>
          <w:lang w:val="vi-VN"/>
        </w:rPr>
        <w:t xml:space="preserve">Yang H, Zhang Q, Zhang B, Zhao Y, Wang N. Potential Active Marine Peptides as Anti-Aging Drugs or Drug Candidates. </w:t>
      </w:r>
      <w:r w:rsidRPr="0046113A">
        <w:rPr>
          <w:rFonts w:ascii="Arial" w:hAnsi="Arial" w:cs="Arial"/>
          <w:i/>
          <w:iCs/>
          <w:noProof/>
          <w:sz w:val="20"/>
          <w:szCs w:val="20"/>
          <w:lang w:val="vi-VN"/>
        </w:rPr>
        <w:t>Mar Drugs</w:t>
      </w:r>
      <w:r w:rsidRPr="0046113A">
        <w:rPr>
          <w:rFonts w:ascii="Arial" w:hAnsi="Arial" w:cs="Arial"/>
          <w:noProof/>
          <w:sz w:val="20"/>
          <w:szCs w:val="20"/>
          <w:lang w:val="vi-VN"/>
        </w:rPr>
        <w:t>. 2023;21(3):151.</w:t>
      </w:r>
    </w:p>
    <w:p w14:paraId="495E6DD4" w14:textId="77777777" w:rsidR="00C4199E" w:rsidRPr="0016638B" w:rsidRDefault="00C4199E" w:rsidP="00C4199E">
      <w:pPr>
        <w:pStyle w:val="EndNoteBibliography"/>
        <w:numPr>
          <w:ilvl w:val="0"/>
          <w:numId w:val="2"/>
        </w:numPr>
        <w:spacing w:after="0" w:line="276" w:lineRule="auto"/>
        <w:ind w:left="567"/>
        <w:rPr>
          <w:rFonts w:ascii="Arial" w:hAnsi="Arial" w:cs="Arial"/>
          <w:noProof/>
          <w:sz w:val="20"/>
          <w:szCs w:val="20"/>
          <w:lang w:val="vi-VN"/>
        </w:rPr>
      </w:pPr>
      <w:r w:rsidRPr="0016638B">
        <w:rPr>
          <w:rFonts w:ascii="Arial" w:hAnsi="Arial" w:cs="Arial"/>
          <w:noProof/>
          <w:sz w:val="20"/>
          <w:szCs w:val="20"/>
          <w:lang w:val="vi-VN"/>
        </w:rPr>
        <w:t xml:space="preserve">Papaccio F, Ramasamy TS, Gunawardena TN, et al. Focus on the contribution of oxidative stress in skin aging. </w:t>
      </w:r>
      <w:r w:rsidRPr="0016638B">
        <w:rPr>
          <w:rFonts w:ascii="Arial" w:hAnsi="Arial" w:cs="Arial"/>
          <w:i/>
          <w:iCs/>
          <w:noProof/>
          <w:sz w:val="20"/>
          <w:szCs w:val="20"/>
          <w:lang w:val="vi-VN"/>
        </w:rPr>
        <w:t>Antioxidants (Basel)</w:t>
      </w:r>
      <w:r w:rsidRPr="0016638B">
        <w:rPr>
          <w:rFonts w:ascii="Arial" w:hAnsi="Arial" w:cs="Arial"/>
          <w:noProof/>
          <w:sz w:val="20"/>
          <w:szCs w:val="20"/>
          <w:lang w:val="vi-VN"/>
        </w:rPr>
        <w:t>. 2022;11(6):1163.</w:t>
      </w:r>
    </w:p>
    <w:p w14:paraId="7D6E388F" w14:textId="6E6517A9" w:rsidR="00113BB7" w:rsidRPr="0016638B" w:rsidRDefault="00113BB7" w:rsidP="00C315D2">
      <w:pPr>
        <w:jc w:val="both"/>
        <w:rPr>
          <w:rFonts w:ascii="Arial" w:eastAsia="Calibri" w:hAnsi="Arial" w:cs="Arial"/>
          <w:bCs/>
          <w:kern w:val="0"/>
          <w:sz w:val="20"/>
          <w:szCs w:val="20"/>
          <w:lang w:val="en-US"/>
          <w14:ligatures w14:val="none"/>
        </w:rPr>
      </w:pPr>
    </w:p>
    <w:sectPr w:rsidR="00113BB7" w:rsidRPr="00166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6F1DF1"/>
    <w:multiLevelType w:val="hybridMultilevel"/>
    <w:tmpl w:val="9FD8C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885325">
    <w:abstractNumId w:val="0"/>
  </w:num>
  <w:num w:numId="2" w16cid:durableId="1831828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01659"/>
    <w:rsid w:val="0000167A"/>
    <w:rsid w:val="000249D7"/>
    <w:rsid w:val="0002525B"/>
    <w:rsid w:val="000313DE"/>
    <w:rsid w:val="00046540"/>
    <w:rsid w:val="00052BE8"/>
    <w:rsid w:val="00056683"/>
    <w:rsid w:val="00060505"/>
    <w:rsid w:val="00066B30"/>
    <w:rsid w:val="0007101F"/>
    <w:rsid w:val="00074542"/>
    <w:rsid w:val="000A5ACB"/>
    <w:rsid w:val="000E4D0D"/>
    <w:rsid w:val="000E71A4"/>
    <w:rsid w:val="000F6513"/>
    <w:rsid w:val="00107368"/>
    <w:rsid w:val="0011092B"/>
    <w:rsid w:val="00113BB7"/>
    <w:rsid w:val="00122F3C"/>
    <w:rsid w:val="00123D9D"/>
    <w:rsid w:val="00124065"/>
    <w:rsid w:val="001339BD"/>
    <w:rsid w:val="0013531C"/>
    <w:rsid w:val="001424E4"/>
    <w:rsid w:val="0015696C"/>
    <w:rsid w:val="0016638B"/>
    <w:rsid w:val="00192A2B"/>
    <w:rsid w:val="001A2F1A"/>
    <w:rsid w:val="001B3B7C"/>
    <w:rsid w:val="001C1A6C"/>
    <w:rsid w:val="001C57D6"/>
    <w:rsid w:val="001C5DFF"/>
    <w:rsid w:val="001C652E"/>
    <w:rsid w:val="001D243C"/>
    <w:rsid w:val="001D385B"/>
    <w:rsid w:val="001E675A"/>
    <w:rsid w:val="001F422C"/>
    <w:rsid w:val="002017E6"/>
    <w:rsid w:val="002463A7"/>
    <w:rsid w:val="00262A26"/>
    <w:rsid w:val="00276A7E"/>
    <w:rsid w:val="00294059"/>
    <w:rsid w:val="002F4A62"/>
    <w:rsid w:val="00307A05"/>
    <w:rsid w:val="003206E4"/>
    <w:rsid w:val="0032103D"/>
    <w:rsid w:val="00334B18"/>
    <w:rsid w:val="0038606F"/>
    <w:rsid w:val="00390D76"/>
    <w:rsid w:val="003911D0"/>
    <w:rsid w:val="0039291C"/>
    <w:rsid w:val="003A31FE"/>
    <w:rsid w:val="003A6D5C"/>
    <w:rsid w:val="003A7D25"/>
    <w:rsid w:val="003B3773"/>
    <w:rsid w:val="003D5407"/>
    <w:rsid w:val="003E1AD2"/>
    <w:rsid w:val="003F79A7"/>
    <w:rsid w:val="0040044D"/>
    <w:rsid w:val="004307DB"/>
    <w:rsid w:val="00437C12"/>
    <w:rsid w:val="004432C8"/>
    <w:rsid w:val="00445748"/>
    <w:rsid w:val="004522C8"/>
    <w:rsid w:val="0046113A"/>
    <w:rsid w:val="00475F2F"/>
    <w:rsid w:val="004765D8"/>
    <w:rsid w:val="00477339"/>
    <w:rsid w:val="00491D50"/>
    <w:rsid w:val="004A51B6"/>
    <w:rsid w:val="004A5307"/>
    <w:rsid w:val="004A716A"/>
    <w:rsid w:val="004E0928"/>
    <w:rsid w:val="004E6C34"/>
    <w:rsid w:val="00510CF8"/>
    <w:rsid w:val="00525595"/>
    <w:rsid w:val="00526FE4"/>
    <w:rsid w:val="00527F9A"/>
    <w:rsid w:val="005338F9"/>
    <w:rsid w:val="00544E8A"/>
    <w:rsid w:val="00552DA2"/>
    <w:rsid w:val="00575A29"/>
    <w:rsid w:val="005A0C18"/>
    <w:rsid w:val="005A69D7"/>
    <w:rsid w:val="005D1098"/>
    <w:rsid w:val="006013AA"/>
    <w:rsid w:val="00601754"/>
    <w:rsid w:val="00610FCB"/>
    <w:rsid w:val="00631B32"/>
    <w:rsid w:val="00631CF4"/>
    <w:rsid w:val="0063325C"/>
    <w:rsid w:val="00643A2F"/>
    <w:rsid w:val="00651688"/>
    <w:rsid w:val="00654BA3"/>
    <w:rsid w:val="00664CFA"/>
    <w:rsid w:val="00693D9E"/>
    <w:rsid w:val="006A34BE"/>
    <w:rsid w:val="006D1121"/>
    <w:rsid w:val="006D70E0"/>
    <w:rsid w:val="006F3F1C"/>
    <w:rsid w:val="00706FA8"/>
    <w:rsid w:val="0071203C"/>
    <w:rsid w:val="007141F2"/>
    <w:rsid w:val="00723E8A"/>
    <w:rsid w:val="00734E31"/>
    <w:rsid w:val="00740513"/>
    <w:rsid w:val="007561D8"/>
    <w:rsid w:val="00757F6B"/>
    <w:rsid w:val="007625C1"/>
    <w:rsid w:val="00774CA3"/>
    <w:rsid w:val="00783CA4"/>
    <w:rsid w:val="00783FCF"/>
    <w:rsid w:val="007858F7"/>
    <w:rsid w:val="00794D9D"/>
    <w:rsid w:val="00795378"/>
    <w:rsid w:val="00796206"/>
    <w:rsid w:val="007A4D81"/>
    <w:rsid w:val="007A7181"/>
    <w:rsid w:val="007C2C7A"/>
    <w:rsid w:val="007C367E"/>
    <w:rsid w:val="00804E07"/>
    <w:rsid w:val="00806508"/>
    <w:rsid w:val="008071C5"/>
    <w:rsid w:val="00844A8F"/>
    <w:rsid w:val="0084766A"/>
    <w:rsid w:val="00847A7E"/>
    <w:rsid w:val="008537AD"/>
    <w:rsid w:val="008644B2"/>
    <w:rsid w:val="00883970"/>
    <w:rsid w:val="008B00A1"/>
    <w:rsid w:val="008B5991"/>
    <w:rsid w:val="008C7119"/>
    <w:rsid w:val="008F0A91"/>
    <w:rsid w:val="008F4818"/>
    <w:rsid w:val="00906D34"/>
    <w:rsid w:val="009105A9"/>
    <w:rsid w:val="0092196A"/>
    <w:rsid w:val="00933DC9"/>
    <w:rsid w:val="00936D4C"/>
    <w:rsid w:val="009441F1"/>
    <w:rsid w:val="009523F9"/>
    <w:rsid w:val="009650DF"/>
    <w:rsid w:val="00971427"/>
    <w:rsid w:val="00975B0C"/>
    <w:rsid w:val="00980D5E"/>
    <w:rsid w:val="00992AA2"/>
    <w:rsid w:val="009934DF"/>
    <w:rsid w:val="009A6C55"/>
    <w:rsid w:val="009B1CBB"/>
    <w:rsid w:val="009D23C8"/>
    <w:rsid w:val="009E2607"/>
    <w:rsid w:val="009E6186"/>
    <w:rsid w:val="00A0516D"/>
    <w:rsid w:val="00A134A0"/>
    <w:rsid w:val="00A214CD"/>
    <w:rsid w:val="00A24580"/>
    <w:rsid w:val="00A430C8"/>
    <w:rsid w:val="00A53C9F"/>
    <w:rsid w:val="00A634A7"/>
    <w:rsid w:val="00A94157"/>
    <w:rsid w:val="00AD4239"/>
    <w:rsid w:val="00AE3501"/>
    <w:rsid w:val="00AF1DD5"/>
    <w:rsid w:val="00AF5422"/>
    <w:rsid w:val="00AF57BC"/>
    <w:rsid w:val="00B31766"/>
    <w:rsid w:val="00B41922"/>
    <w:rsid w:val="00B41924"/>
    <w:rsid w:val="00B467E7"/>
    <w:rsid w:val="00B4721D"/>
    <w:rsid w:val="00B50CB4"/>
    <w:rsid w:val="00B562BC"/>
    <w:rsid w:val="00B56E8D"/>
    <w:rsid w:val="00B6351D"/>
    <w:rsid w:val="00B639EE"/>
    <w:rsid w:val="00B64EE7"/>
    <w:rsid w:val="00B8473A"/>
    <w:rsid w:val="00B925B6"/>
    <w:rsid w:val="00B92AC8"/>
    <w:rsid w:val="00B93DB5"/>
    <w:rsid w:val="00BB2278"/>
    <w:rsid w:val="00BB3935"/>
    <w:rsid w:val="00BB7DE4"/>
    <w:rsid w:val="00BC2922"/>
    <w:rsid w:val="00BF0124"/>
    <w:rsid w:val="00C026B6"/>
    <w:rsid w:val="00C02956"/>
    <w:rsid w:val="00C0500B"/>
    <w:rsid w:val="00C057B6"/>
    <w:rsid w:val="00C21815"/>
    <w:rsid w:val="00C315D2"/>
    <w:rsid w:val="00C34382"/>
    <w:rsid w:val="00C353D8"/>
    <w:rsid w:val="00C36E10"/>
    <w:rsid w:val="00C4199E"/>
    <w:rsid w:val="00C448BF"/>
    <w:rsid w:val="00C55BA3"/>
    <w:rsid w:val="00C96A38"/>
    <w:rsid w:val="00CB1939"/>
    <w:rsid w:val="00CC7C43"/>
    <w:rsid w:val="00CF24A1"/>
    <w:rsid w:val="00CF5A91"/>
    <w:rsid w:val="00D02BB1"/>
    <w:rsid w:val="00D130AC"/>
    <w:rsid w:val="00D2569C"/>
    <w:rsid w:val="00D26727"/>
    <w:rsid w:val="00D36163"/>
    <w:rsid w:val="00D45A74"/>
    <w:rsid w:val="00D45CD6"/>
    <w:rsid w:val="00D513F3"/>
    <w:rsid w:val="00D5660D"/>
    <w:rsid w:val="00D7428F"/>
    <w:rsid w:val="00D74979"/>
    <w:rsid w:val="00D74C77"/>
    <w:rsid w:val="00D84A42"/>
    <w:rsid w:val="00D85D45"/>
    <w:rsid w:val="00D85F03"/>
    <w:rsid w:val="00D863A4"/>
    <w:rsid w:val="00DB23CC"/>
    <w:rsid w:val="00DC6341"/>
    <w:rsid w:val="00DE02AC"/>
    <w:rsid w:val="00DF5F20"/>
    <w:rsid w:val="00E0124D"/>
    <w:rsid w:val="00E32310"/>
    <w:rsid w:val="00E54FDF"/>
    <w:rsid w:val="00E55732"/>
    <w:rsid w:val="00E7284D"/>
    <w:rsid w:val="00E74296"/>
    <w:rsid w:val="00E96608"/>
    <w:rsid w:val="00EB181E"/>
    <w:rsid w:val="00EC3746"/>
    <w:rsid w:val="00F00CDD"/>
    <w:rsid w:val="00F068B7"/>
    <w:rsid w:val="00F2378D"/>
    <w:rsid w:val="00F47E7F"/>
    <w:rsid w:val="00F539FB"/>
    <w:rsid w:val="00F55329"/>
    <w:rsid w:val="00F80DB3"/>
    <w:rsid w:val="00F85528"/>
    <w:rsid w:val="00F90BFC"/>
    <w:rsid w:val="00F94D24"/>
    <w:rsid w:val="00FB7DAC"/>
    <w:rsid w:val="00FC4E4F"/>
    <w:rsid w:val="00FD1581"/>
    <w:rsid w:val="00FE1E5C"/>
    <w:rsid w:val="00FF429E"/>
    <w:rsid w:val="012275ED"/>
    <w:rsid w:val="033E1DE0"/>
    <w:rsid w:val="03BFBB6E"/>
    <w:rsid w:val="052E5EB3"/>
    <w:rsid w:val="05682E8A"/>
    <w:rsid w:val="05B93B48"/>
    <w:rsid w:val="062B2A59"/>
    <w:rsid w:val="07696ABB"/>
    <w:rsid w:val="084CFDED"/>
    <w:rsid w:val="09F69A34"/>
    <w:rsid w:val="0A9DEACB"/>
    <w:rsid w:val="0BE28BB7"/>
    <w:rsid w:val="0C8BF7B2"/>
    <w:rsid w:val="0DC27D89"/>
    <w:rsid w:val="0DF0BB32"/>
    <w:rsid w:val="0EDE9D1C"/>
    <w:rsid w:val="0F6AE72E"/>
    <w:rsid w:val="1234E23C"/>
    <w:rsid w:val="13D54526"/>
    <w:rsid w:val="143BE10A"/>
    <w:rsid w:val="149A850D"/>
    <w:rsid w:val="15E041D2"/>
    <w:rsid w:val="170EDF5A"/>
    <w:rsid w:val="181C4CBC"/>
    <w:rsid w:val="1A29E6D6"/>
    <w:rsid w:val="1C26DECE"/>
    <w:rsid w:val="1CC4AFD9"/>
    <w:rsid w:val="1DFE4D0C"/>
    <w:rsid w:val="1EE2F1AD"/>
    <w:rsid w:val="1EFBA454"/>
    <w:rsid w:val="2021B9E9"/>
    <w:rsid w:val="211A7C95"/>
    <w:rsid w:val="211C1AE9"/>
    <w:rsid w:val="21524E98"/>
    <w:rsid w:val="219F8F72"/>
    <w:rsid w:val="226EB6AA"/>
    <w:rsid w:val="22E83BCB"/>
    <w:rsid w:val="239EA191"/>
    <w:rsid w:val="23B6109C"/>
    <w:rsid w:val="240BB17C"/>
    <w:rsid w:val="248FC3A3"/>
    <w:rsid w:val="260DFEBF"/>
    <w:rsid w:val="28EF7CAB"/>
    <w:rsid w:val="291550EA"/>
    <w:rsid w:val="2946D16B"/>
    <w:rsid w:val="2B7AAB9D"/>
    <w:rsid w:val="2D759D0F"/>
    <w:rsid w:val="2E59CBF1"/>
    <w:rsid w:val="300ACA2B"/>
    <w:rsid w:val="30477B00"/>
    <w:rsid w:val="319CEDDA"/>
    <w:rsid w:val="31B5E605"/>
    <w:rsid w:val="3289AE45"/>
    <w:rsid w:val="340ECC80"/>
    <w:rsid w:val="370C5DA0"/>
    <w:rsid w:val="3932662B"/>
    <w:rsid w:val="3B4A4E3D"/>
    <w:rsid w:val="3BC59B5E"/>
    <w:rsid w:val="3D28A1DA"/>
    <w:rsid w:val="438B61FF"/>
    <w:rsid w:val="43EF8C7C"/>
    <w:rsid w:val="44F6255D"/>
    <w:rsid w:val="45D1D663"/>
    <w:rsid w:val="469CBCC4"/>
    <w:rsid w:val="494C340D"/>
    <w:rsid w:val="4BA5BEE8"/>
    <w:rsid w:val="4BBCAB58"/>
    <w:rsid w:val="4C09C8D8"/>
    <w:rsid w:val="4C0CF05E"/>
    <w:rsid w:val="4C5570C5"/>
    <w:rsid w:val="4D1191BA"/>
    <w:rsid w:val="4DE34B3B"/>
    <w:rsid w:val="4E881F98"/>
    <w:rsid w:val="4FD14E91"/>
    <w:rsid w:val="4FE586D6"/>
    <w:rsid w:val="4FE71DF4"/>
    <w:rsid w:val="4FEBCD42"/>
    <w:rsid w:val="50A20AA3"/>
    <w:rsid w:val="50D7250F"/>
    <w:rsid w:val="558A90B6"/>
    <w:rsid w:val="559DAE11"/>
    <w:rsid w:val="57CEE688"/>
    <w:rsid w:val="58F36FC9"/>
    <w:rsid w:val="59FB8C7F"/>
    <w:rsid w:val="5C59E76E"/>
    <w:rsid w:val="5D836CCC"/>
    <w:rsid w:val="5DC9F887"/>
    <w:rsid w:val="5E2C5F31"/>
    <w:rsid w:val="5ECAFB53"/>
    <w:rsid w:val="5ED62922"/>
    <w:rsid w:val="603D09E6"/>
    <w:rsid w:val="60DB5896"/>
    <w:rsid w:val="6467B912"/>
    <w:rsid w:val="673A1988"/>
    <w:rsid w:val="67BA246E"/>
    <w:rsid w:val="67EE031D"/>
    <w:rsid w:val="6924AC35"/>
    <w:rsid w:val="6A8D0BA8"/>
    <w:rsid w:val="6C510A27"/>
    <w:rsid w:val="6F510820"/>
    <w:rsid w:val="72C16A41"/>
    <w:rsid w:val="72C38B7D"/>
    <w:rsid w:val="735EE614"/>
    <w:rsid w:val="749C4792"/>
    <w:rsid w:val="76046CB1"/>
    <w:rsid w:val="7619D3AD"/>
    <w:rsid w:val="767476E1"/>
    <w:rsid w:val="7745CD31"/>
    <w:rsid w:val="77695B67"/>
    <w:rsid w:val="78B01CFA"/>
    <w:rsid w:val="7925E046"/>
    <w:rsid w:val="795E3304"/>
    <w:rsid w:val="7ACA20CB"/>
    <w:rsid w:val="7C271F47"/>
    <w:rsid w:val="7C8AE401"/>
    <w:rsid w:val="7CA7DE5E"/>
    <w:rsid w:val="7E928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D4508806-161E-47CE-980A-3092862D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qFormat/>
    <w:rsid w:val="00437C12"/>
    <w:pPr>
      <w:spacing w:after="200" w:line="240" w:lineRule="auto"/>
      <w:jc w:val="both"/>
    </w:pPr>
    <w:rPr>
      <w:rFonts w:ascii="Calibri" w:eastAsiaTheme="minorEastAsia" w:hAnsi="Calibri" w:cs="Calibri"/>
      <w:kern w:val="0"/>
      <w:sz w:val="22"/>
      <w:szCs w:val="26"/>
      <w:lang w:eastAsia="zh-TW"/>
    </w:rPr>
  </w:style>
  <w:style w:type="character" w:customStyle="1" w:styleId="EndNoteBibliographyChar">
    <w:name w:val="EndNote Bibliography Char"/>
    <w:basedOn w:val="DefaultParagraphFont"/>
    <w:link w:val="EndNoteBibliography"/>
    <w:qFormat/>
    <w:rsid w:val="00437C12"/>
    <w:rPr>
      <w:rFonts w:ascii="Calibri" w:eastAsiaTheme="minorEastAsia" w:hAnsi="Calibri" w:cs="Calibri"/>
      <w:kern w:val="0"/>
      <w:sz w:val="22"/>
      <w:szCs w:val="26"/>
      <w:lang w:eastAsia="zh-TW"/>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customStyle="1" w:styleId="u1Char">
    <w:name w:val="Đầu đề 1 Char"/>
    <w:basedOn w:val="DefaultParagraphFont"/>
    <w:uiPriority w:val="9"/>
    <w:rsid w:val="00BC292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DefaultParagraphFont"/>
    <w:uiPriority w:val="9"/>
    <w:semiHidden/>
    <w:rsid w:val="00BC292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DefaultParagraphFont"/>
    <w:uiPriority w:val="9"/>
    <w:semiHidden/>
    <w:rsid w:val="00BC2922"/>
    <w:rPr>
      <w:rFonts w:eastAsiaTheme="majorEastAsia" w:cstheme="majorBidi"/>
      <w:color w:val="0F4761" w:themeColor="accent1" w:themeShade="BF"/>
      <w:sz w:val="28"/>
      <w:szCs w:val="28"/>
    </w:rPr>
  </w:style>
  <w:style w:type="character" w:customStyle="1" w:styleId="u4Char">
    <w:name w:val="Đầu đề 4 Char"/>
    <w:basedOn w:val="DefaultParagraphFont"/>
    <w:uiPriority w:val="9"/>
    <w:semiHidden/>
    <w:rsid w:val="00BC2922"/>
    <w:rPr>
      <w:rFonts w:eastAsiaTheme="majorEastAsia" w:cstheme="majorBidi"/>
      <w:i/>
      <w:iCs/>
      <w:color w:val="0F4761" w:themeColor="accent1" w:themeShade="BF"/>
    </w:rPr>
  </w:style>
  <w:style w:type="character" w:customStyle="1" w:styleId="u5Char">
    <w:name w:val="Đầu đề 5 Char"/>
    <w:basedOn w:val="DefaultParagraphFont"/>
    <w:uiPriority w:val="9"/>
    <w:semiHidden/>
    <w:rsid w:val="00BC2922"/>
    <w:rPr>
      <w:rFonts w:eastAsiaTheme="majorEastAsia" w:cstheme="majorBidi"/>
      <w:color w:val="0F4761" w:themeColor="accent1" w:themeShade="BF"/>
    </w:rPr>
  </w:style>
  <w:style w:type="character" w:customStyle="1" w:styleId="u6Char">
    <w:name w:val="Đầu đề 6 Char"/>
    <w:basedOn w:val="DefaultParagraphFont"/>
    <w:uiPriority w:val="9"/>
    <w:semiHidden/>
    <w:rsid w:val="00BC2922"/>
    <w:rPr>
      <w:rFonts w:eastAsiaTheme="majorEastAsia" w:cstheme="majorBidi"/>
      <w:i/>
      <w:iCs/>
      <w:color w:val="595959" w:themeColor="text1" w:themeTint="A6"/>
    </w:rPr>
  </w:style>
  <w:style w:type="character" w:customStyle="1" w:styleId="u7Char">
    <w:name w:val="Đầu đề 7 Char"/>
    <w:basedOn w:val="DefaultParagraphFont"/>
    <w:uiPriority w:val="9"/>
    <w:semiHidden/>
    <w:rsid w:val="00BC2922"/>
    <w:rPr>
      <w:rFonts w:eastAsiaTheme="majorEastAsia" w:cstheme="majorBidi"/>
      <w:color w:val="595959" w:themeColor="text1" w:themeTint="A6"/>
    </w:rPr>
  </w:style>
  <w:style w:type="character" w:customStyle="1" w:styleId="u8Char">
    <w:name w:val="Đầu đề 8 Char"/>
    <w:basedOn w:val="DefaultParagraphFont"/>
    <w:uiPriority w:val="9"/>
    <w:semiHidden/>
    <w:rsid w:val="00BC2922"/>
    <w:rPr>
      <w:rFonts w:eastAsiaTheme="majorEastAsia" w:cstheme="majorBidi"/>
      <w:i/>
      <w:iCs/>
      <w:color w:val="272727" w:themeColor="text1" w:themeTint="D8"/>
    </w:rPr>
  </w:style>
  <w:style w:type="character" w:customStyle="1" w:styleId="u9Char">
    <w:name w:val="Đầu đề 9 Char"/>
    <w:basedOn w:val="DefaultParagraphFont"/>
    <w:uiPriority w:val="9"/>
    <w:semiHidden/>
    <w:rsid w:val="00BC2922"/>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Le Nguyen Thanh Ngan - DUOC22</cp:lastModifiedBy>
  <cp:revision>10</cp:revision>
  <dcterms:created xsi:type="dcterms:W3CDTF">2025-07-25T15:23:00Z</dcterms:created>
  <dcterms:modified xsi:type="dcterms:W3CDTF">2025-07-26T05:14:00Z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