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8F238">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Calibri" w:hAnsi="Calibri" w:eastAsia="宋体" w:cs="Calibri"/>
          <w:b/>
          <w:sz w:val="20"/>
          <w:szCs w:val="20"/>
          <w:shd w:val="clear" w:color="auto" w:fill="auto"/>
          <w:lang w:val="en-US" w:eastAsia="zh-CN"/>
        </w:rPr>
      </w:pPr>
      <w:bookmarkStart w:id="0" w:name="_GoBack"/>
      <w:r>
        <w:rPr>
          <w:rFonts w:hint="default" w:ascii="Calibri" w:hAnsi="Calibri" w:cs="Calibri"/>
          <w:b/>
          <w:sz w:val="20"/>
          <w:szCs w:val="20"/>
          <w:shd w:val="clear" w:color="auto" w:fill="auto"/>
        </w:rPr>
        <w:t xml:space="preserve">Nuclear </w:t>
      </w:r>
      <w:r>
        <w:rPr>
          <w:rFonts w:hint="default" w:ascii="Calibri" w:hAnsi="Calibri" w:cs="Calibri"/>
          <w:b/>
          <w:sz w:val="20"/>
          <w:szCs w:val="20"/>
          <w:shd w:val="clear" w:color="auto" w:fill="auto"/>
          <w:lang w:val="en-US" w:eastAsia="zh-CN"/>
        </w:rPr>
        <w:t xml:space="preserve">IGF1R </w:t>
      </w:r>
      <w:r>
        <w:rPr>
          <w:rFonts w:hint="default" w:ascii="Calibri" w:hAnsi="Calibri" w:cs="Calibri"/>
          <w:b/>
          <w:sz w:val="20"/>
          <w:szCs w:val="20"/>
          <w:shd w:val="clear" w:color="auto" w:fill="auto"/>
        </w:rPr>
        <w:t>promotes tumorigenesis by preventing Smurf2-</w:t>
      </w:r>
      <w:r>
        <w:rPr>
          <w:rFonts w:hint="default" w:ascii="Calibri" w:hAnsi="Calibri" w:cs="Calibri"/>
          <w:b/>
          <w:sz w:val="20"/>
          <w:szCs w:val="20"/>
          <w:shd w:val="clear" w:color="auto" w:fill="auto"/>
        </w:rPr>
        <w:t>depentent</w:t>
      </w:r>
      <w:r>
        <w:rPr>
          <w:rFonts w:hint="default" w:ascii="Calibri" w:hAnsi="Calibri" w:cs="Calibri"/>
          <w:b/>
          <w:sz w:val="20"/>
          <w:szCs w:val="20"/>
          <w:shd w:val="clear" w:color="auto" w:fill="auto"/>
        </w:rPr>
        <w:t xml:space="preserve"> </w:t>
      </w:r>
      <w:r>
        <w:rPr>
          <w:rFonts w:hint="default" w:ascii="Calibri" w:hAnsi="Calibri" w:cs="Calibri"/>
          <w:b/>
          <w:sz w:val="20"/>
          <w:szCs w:val="20"/>
          <w:shd w:val="clear" w:color="auto" w:fill="auto"/>
          <w:lang w:val="en-US" w:eastAsia="zh-CN"/>
        </w:rPr>
        <w:t>EZH2</w:t>
      </w:r>
      <w:r>
        <w:rPr>
          <w:rFonts w:hint="default" w:ascii="Calibri" w:hAnsi="Calibri" w:cs="Calibri"/>
          <w:b/>
          <w:sz w:val="20"/>
          <w:szCs w:val="20"/>
          <w:shd w:val="clear" w:color="auto" w:fill="auto"/>
        </w:rPr>
        <w:t xml:space="preserve"> degradation in </w:t>
      </w:r>
      <w:r>
        <w:rPr>
          <w:rFonts w:hint="default" w:ascii="Calibri" w:hAnsi="Calibri" w:cs="Calibri"/>
          <w:b/>
          <w:sz w:val="20"/>
          <w:szCs w:val="20"/>
          <w:shd w:val="clear" w:color="auto" w:fill="auto"/>
          <w:lang w:val="en-US" w:eastAsia="zh-CN"/>
        </w:rPr>
        <w:t>HCC</w:t>
      </w:r>
    </w:p>
    <w:bookmarkEnd w:id="0"/>
    <w:p w14:paraId="5958120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Calibri" w:hAnsi="Calibri" w:cs="Calibri"/>
          <w:bCs/>
          <w:sz w:val="20"/>
          <w:szCs w:val="20"/>
          <w:shd w:val="clear" w:color="auto" w:fill="FFFFFF"/>
        </w:rPr>
      </w:pPr>
      <w:r>
        <w:rPr>
          <w:rFonts w:hint="default" w:ascii="Calibri" w:hAnsi="Calibri" w:cs="Calibri"/>
          <w:bCs/>
          <w:sz w:val="20"/>
          <w:szCs w:val="20"/>
          <w:shd w:val="clear" w:color="auto" w:fill="FFFFFF"/>
        </w:rPr>
        <w:t>Xin-Feng Wu</w:t>
      </w:r>
      <w:r>
        <w:rPr>
          <w:rFonts w:hint="default" w:ascii="Calibri" w:hAnsi="Calibri" w:cs="Calibri"/>
          <w:bCs/>
          <w:sz w:val="20"/>
          <w:szCs w:val="20"/>
          <w:shd w:val="clear" w:color="auto" w:fill="FFFFFF"/>
          <w:vertAlign w:val="superscript"/>
        </w:rPr>
        <w:t>1</w:t>
      </w:r>
      <w:r>
        <w:rPr>
          <w:rFonts w:hint="default" w:ascii="Calibri" w:hAnsi="Calibri" w:cs="Calibri"/>
          <w:bCs/>
          <w:sz w:val="20"/>
          <w:szCs w:val="20"/>
          <w:shd w:val="clear" w:color="auto" w:fill="FFFFFF"/>
        </w:rPr>
        <w:t>, Si-Yuan Mu</w:t>
      </w:r>
      <w:r>
        <w:rPr>
          <w:rFonts w:hint="default" w:ascii="Calibri" w:hAnsi="Calibri" w:cs="Calibri"/>
          <w:bCs/>
          <w:sz w:val="20"/>
          <w:szCs w:val="20"/>
          <w:shd w:val="clear" w:color="auto" w:fill="FFFFFF"/>
          <w:vertAlign w:val="superscript"/>
        </w:rPr>
        <w:t>1</w:t>
      </w:r>
      <w:r>
        <w:rPr>
          <w:rFonts w:hint="default" w:ascii="Calibri" w:hAnsi="Calibri" w:cs="Calibri"/>
          <w:bCs/>
          <w:sz w:val="20"/>
          <w:szCs w:val="20"/>
          <w:shd w:val="clear" w:color="auto" w:fill="FFFFFF"/>
          <w:lang w:val="en-US" w:eastAsia="zh-CN"/>
        </w:rPr>
        <w:t xml:space="preserve">, </w:t>
      </w:r>
      <w:r>
        <w:rPr>
          <w:rFonts w:hint="default" w:ascii="Calibri" w:hAnsi="Calibri" w:cs="Calibri"/>
          <w:bCs/>
          <w:sz w:val="20"/>
          <w:szCs w:val="20"/>
          <w:shd w:val="clear" w:color="auto" w:fill="FFFFFF"/>
        </w:rPr>
        <w:t>Ke-Qin Li</w:t>
      </w:r>
      <w:r>
        <w:rPr>
          <w:rFonts w:hint="default" w:ascii="Calibri" w:hAnsi="Calibri" w:cs="Calibri"/>
          <w:bCs/>
          <w:sz w:val="20"/>
          <w:szCs w:val="20"/>
          <w:shd w:val="clear" w:color="auto" w:fill="FFFFFF"/>
          <w:vertAlign w:val="superscript"/>
        </w:rPr>
        <w:t>1</w:t>
      </w:r>
      <w:r>
        <w:rPr>
          <w:rFonts w:hint="default" w:ascii="Calibri" w:hAnsi="Calibri" w:cs="Calibri"/>
          <w:bCs/>
          <w:sz w:val="20"/>
          <w:szCs w:val="20"/>
          <w:shd w:val="clear" w:color="auto" w:fill="FFFFFF"/>
        </w:rPr>
        <w:t>, Yong Hai</w:t>
      </w:r>
      <w:r>
        <w:rPr>
          <w:rFonts w:hint="default" w:ascii="Calibri" w:hAnsi="Calibri" w:cs="Calibri"/>
          <w:bCs/>
          <w:sz w:val="20"/>
          <w:szCs w:val="20"/>
          <w:shd w:val="clear" w:color="auto" w:fill="FFFFFF"/>
          <w:vertAlign w:val="superscript"/>
        </w:rPr>
        <w:t>2</w:t>
      </w:r>
      <w:r>
        <w:rPr>
          <w:rFonts w:hint="default" w:ascii="Calibri" w:hAnsi="Calibri" w:cs="Calibri"/>
          <w:bCs/>
          <w:sz w:val="20"/>
          <w:szCs w:val="20"/>
          <w:shd w:val="clear" w:color="auto" w:fill="FFFFFF"/>
          <w:vertAlign w:val="superscript"/>
          <w:lang w:val="en-US" w:eastAsia="zh-CN"/>
        </w:rPr>
        <w:t xml:space="preserve"> </w:t>
      </w:r>
      <w:r>
        <w:rPr>
          <w:rFonts w:hint="default" w:ascii="Calibri" w:hAnsi="Calibri" w:cs="Calibri"/>
          <w:bCs/>
          <w:sz w:val="20"/>
          <w:szCs w:val="20"/>
          <w:shd w:val="clear" w:color="auto" w:fill="FFFFFF"/>
        </w:rPr>
        <w:t>,</w:t>
      </w:r>
      <w:r>
        <w:rPr>
          <w:rFonts w:hint="default" w:ascii="Calibri" w:hAnsi="Calibri" w:cs="Calibri"/>
          <w:bCs/>
          <w:sz w:val="20"/>
          <w:szCs w:val="20"/>
          <w:shd w:val="clear" w:color="auto" w:fill="FFFFFF"/>
          <w:lang w:val="en-US" w:eastAsia="zh-CN"/>
        </w:rPr>
        <w:t xml:space="preserve"> </w:t>
      </w:r>
      <w:r>
        <w:rPr>
          <w:rFonts w:hint="default" w:ascii="Calibri" w:hAnsi="Calibri" w:cs="Calibri"/>
          <w:bCs/>
          <w:sz w:val="20"/>
          <w:szCs w:val="20"/>
          <w:highlight w:val="none"/>
          <w:shd w:val="clear" w:color="auto" w:fill="FFFFFF"/>
        </w:rPr>
        <w:t>Bo Han</w:t>
      </w:r>
      <w:r>
        <w:rPr>
          <w:rFonts w:hint="default" w:ascii="Calibri" w:hAnsi="Calibri" w:cs="Calibri"/>
          <w:bCs/>
          <w:sz w:val="20"/>
          <w:szCs w:val="20"/>
          <w:highlight w:val="none"/>
          <w:shd w:val="clear" w:color="auto" w:fill="FFFFFF"/>
          <w:vertAlign w:val="superscript"/>
        </w:rPr>
        <w:t>2</w:t>
      </w:r>
      <w:r>
        <w:rPr>
          <w:rFonts w:hint="default" w:ascii="Calibri" w:hAnsi="Calibri" w:cs="Calibri"/>
          <w:bCs/>
          <w:sz w:val="20"/>
          <w:szCs w:val="20"/>
          <w:highlight w:val="none"/>
          <w:shd w:val="clear" w:color="auto" w:fill="FFFFFF"/>
          <w:vertAlign w:val="baseline"/>
          <w:lang w:val="en-US" w:eastAsia="zh-CN"/>
        </w:rPr>
        <w:t>, Zhi-Meng Sun</w:t>
      </w:r>
      <w:r>
        <w:rPr>
          <w:rFonts w:hint="default" w:ascii="Calibri" w:hAnsi="Calibri" w:cs="Calibri"/>
          <w:bCs/>
          <w:sz w:val="20"/>
          <w:szCs w:val="20"/>
          <w:shd w:val="clear" w:color="auto" w:fill="FFFFFF"/>
          <w:vertAlign w:val="superscript"/>
          <w:lang w:val="en-US" w:eastAsia="zh-CN"/>
        </w:rPr>
        <w:t>1</w:t>
      </w:r>
      <w:r>
        <w:rPr>
          <w:rFonts w:hint="default" w:ascii="Calibri" w:hAnsi="Calibri" w:cs="Calibri"/>
          <w:bCs/>
          <w:sz w:val="20"/>
          <w:szCs w:val="20"/>
          <w:shd w:val="clear" w:color="auto" w:fill="FFFFFF"/>
        </w:rPr>
        <w:t>,</w:t>
      </w:r>
      <w:r>
        <w:rPr>
          <w:rFonts w:hint="default" w:ascii="Calibri" w:hAnsi="Calibri" w:cs="Calibri"/>
          <w:bCs/>
          <w:sz w:val="20"/>
          <w:szCs w:val="20"/>
          <w:shd w:val="clear" w:color="auto" w:fill="FFFFFF"/>
          <w:lang w:val="en-US" w:eastAsia="zh-CN"/>
        </w:rPr>
        <w:t xml:space="preserve"> Ming Yang</w:t>
      </w:r>
      <w:r>
        <w:rPr>
          <w:rFonts w:hint="default" w:ascii="Calibri" w:hAnsi="Calibri" w:cs="Calibri"/>
          <w:bCs/>
          <w:sz w:val="20"/>
          <w:szCs w:val="20"/>
          <w:shd w:val="clear" w:color="auto" w:fill="FFFFFF"/>
          <w:vertAlign w:val="superscript"/>
        </w:rPr>
        <w:t>1</w:t>
      </w:r>
      <w:r>
        <w:rPr>
          <w:rFonts w:hint="default" w:ascii="Calibri" w:hAnsi="Calibri" w:cs="Calibri"/>
          <w:bCs/>
          <w:sz w:val="20"/>
          <w:szCs w:val="20"/>
          <w:shd w:val="clear" w:color="auto" w:fill="FFFFFF"/>
          <w:lang w:val="en-US" w:eastAsia="zh-CN"/>
        </w:rPr>
        <w:t>,</w:t>
      </w:r>
      <w:r>
        <w:rPr>
          <w:rFonts w:hint="default" w:ascii="Calibri" w:hAnsi="Calibri" w:cs="Calibri"/>
          <w:bCs/>
          <w:sz w:val="20"/>
          <w:szCs w:val="20"/>
          <w:shd w:val="clear" w:color="auto" w:fill="FFFFFF"/>
        </w:rPr>
        <w:t xml:space="preserve"> Xiao-Hui Liu</w:t>
      </w:r>
      <w:r>
        <w:rPr>
          <w:rFonts w:hint="default" w:ascii="Calibri" w:hAnsi="Calibri" w:cs="Calibri"/>
          <w:bCs/>
          <w:sz w:val="20"/>
          <w:szCs w:val="20"/>
          <w:shd w:val="clear" w:color="auto" w:fill="FFFFFF"/>
          <w:vertAlign w:val="superscript"/>
        </w:rPr>
        <w:t>1</w:t>
      </w:r>
      <w:r>
        <w:rPr>
          <w:rFonts w:hint="default" w:ascii="Calibri" w:hAnsi="Calibri" w:cs="Calibri"/>
          <w:bCs/>
          <w:sz w:val="20"/>
          <w:szCs w:val="20"/>
          <w:shd w:val="clear" w:color="auto" w:fill="FFFFFF"/>
        </w:rPr>
        <w:t>, Shu-Xiang Cui</w:t>
      </w:r>
      <w:r>
        <w:rPr>
          <w:rFonts w:hint="default" w:ascii="Calibri" w:hAnsi="Calibri" w:cs="Calibri"/>
          <w:bCs/>
          <w:sz w:val="20"/>
          <w:szCs w:val="20"/>
          <w:shd w:val="clear" w:color="auto" w:fill="FFFFFF"/>
          <w:vertAlign w:val="superscript"/>
          <w:lang w:val="en-US" w:eastAsia="zh-CN"/>
        </w:rPr>
        <w:t>4</w:t>
      </w:r>
      <w:r>
        <w:rPr>
          <w:rFonts w:hint="default" w:ascii="Calibri" w:hAnsi="Calibri" w:cs="Calibri"/>
          <w:bCs/>
          <w:sz w:val="20"/>
          <w:szCs w:val="20"/>
          <w:shd w:val="clear" w:color="auto" w:fill="FFFFFF"/>
        </w:rPr>
        <w:t>, Yan-Yan Chu</w:t>
      </w:r>
      <w:r>
        <w:rPr>
          <w:rFonts w:hint="default" w:ascii="Calibri" w:hAnsi="Calibri" w:cs="Calibri"/>
          <w:bCs/>
          <w:sz w:val="20"/>
          <w:szCs w:val="20"/>
          <w:shd w:val="clear" w:color="auto" w:fill="FFFFFF"/>
          <w:vertAlign w:val="superscript"/>
          <w:lang w:val="en-US" w:eastAsia="zh-CN"/>
        </w:rPr>
        <w:t>3</w:t>
      </w:r>
      <w:r>
        <w:rPr>
          <w:rFonts w:hint="default" w:ascii="Calibri" w:hAnsi="Calibri" w:cs="Calibri"/>
          <w:bCs/>
          <w:sz w:val="20"/>
          <w:szCs w:val="20"/>
          <w:shd w:val="clear" w:color="auto" w:fill="FFFFFF"/>
        </w:rPr>
        <w:t>*and Xian-Jun Qu</w:t>
      </w:r>
      <w:r>
        <w:rPr>
          <w:rFonts w:hint="default" w:ascii="Calibri" w:hAnsi="Calibri" w:cs="Calibri"/>
          <w:bCs/>
          <w:sz w:val="20"/>
          <w:szCs w:val="20"/>
          <w:shd w:val="clear" w:color="auto" w:fill="FFFFFF"/>
          <w:vertAlign w:val="superscript"/>
        </w:rPr>
        <w:t>1</w:t>
      </w:r>
      <w:r>
        <w:rPr>
          <w:rFonts w:hint="default" w:ascii="Calibri" w:hAnsi="Calibri" w:cs="Calibri"/>
          <w:bCs/>
          <w:sz w:val="20"/>
          <w:szCs w:val="20"/>
          <w:shd w:val="clear" w:color="auto" w:fill="FFFFFF"/>
        </w:rPr>
        <w:t>*</w:t>
      </w:r>
    </w:p>
    <w:p w14:paraId="79B3999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Calibri" w:hAnsi="Calibri" w:cs="Calibri"/>
          <w:bCs/>
          <w:sz w:val="20"/>
          <w:szCs w:val="20"/>
          <w:shd w:val="clear" w:color="auto" w:fill="FFFFFF"/>
        </w:rPr>
      </w:pPr>
      <w:r>
        <w:rPr>
          <w:rFonts w:hint="default" w:ascii="Calibri" w:hAnsi="Calibri" w:cs="Calibri"/>
          <w:bCs/>
          <w:sz w:val="20"/>
          <w:szCs w:val="20"/>
          <w:shd w:val="clear" w:color="auto" w:fill="FFFFFF"/>
          <w:vertAlign w:val="superscript"/>
        </w:rPr>
        <w:t>1</w:t>
      </w:r>
      <w:r>
        <w:rPr>
          <w:rFonts w:hint="default" w:ascii="Calibri" w:hAnsi="Calibri" w:cs="Calibri"/>
          <w:bCs/>
          <w:sz w:val="20"/>
          <w:szCs w:val="20"/>
          <w:shd w:val="clear" w:color="auto" w:fill="FFFFFF"/>
        </w:rPr>
        <w:t>Department of Pharmacology, School of Basic Medical Sciences, Capital Medical University, Beijing, China</w:t>
      </w:r>
    </w:p>
    <w:p w14:paraId="731BB0CA">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cs="Calibri"/>
          <w:sz w:val="20"/>
          <w:szCs w:val="20"/>
        </w:rPr>
      </w:pPr>
      <w:r>
        <w:rPr>
          <w:rFonts w:hint="default" w:ascii="Calibri" w:hAnsi="Calibri" w:cs="Calibri"/>
          <w:sz w:val="20"/>
          <w:szCs w:val="20"/>
          <w:vertAlign w:val="superscript"/>
        </w:rPr>
        <w:t>2</w:t>
      </w:r>
      <w:r>
        <w:rPr>
          <w:rFonts w:hint="default" w:ascii="Calibri" w:hAnsi="Calibri" w:cs="Calibri"/>
          <w:sz w:val="20"/>
          <w:szCs w:val="20"/>
        </w:rPr>
        <w:t>Department of Orthopedic Surgery, Beijing Chao-Yang Hospital, Capital Medical University, Beijing, China</w:t>
      </w:r>
    </w:p>
    <w:p w14:paraId="1F139989">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Calibri" w:hAnsi="Calibri" w:cs="Calibri"/>
          <w:bCs/>
          <w:sz w:val="20"/>
          <w:szCs w:val="20"/>
          <w:shd w:val="clear" w:color="auto" w:fill="FFFFFF"/>
        </w:rPr>
      </w:pPr>
      <w:r>
        <w:rPr>
          <w:rFonts w:hint="default" w:ascii="Calibri" w:hAnsi="Calibri" w:cs="Calibri"/>
          <w:bCs/>
          <w:sz w:val="20"/>
          <w:szCs w:val="20"/>
          <w:shd w:val="clear" w:color="auto" w:fill="FFFFFF"/>
          <w:vertAlign w:val="superscript"/>
          <w:lang w:val="en-US" w:eastAsia="zh-CN"/>
        </w:rPr>
        <w:t>3</w:t>
      </w:r>
      <w:r>
        <w:rPr>
          <w:rFonts w:hint="default" w:ascii="Calibri" w:hAnsi="Calibri" w:cs="Calibri"/>
          <w:bCs/>
          <w:sz w:val="20"/>
          <w:szCs w:val="20"/>
          <w:shd w:val="clear" w:color="auto" w:fill="FFFFFF"/>
        </w:rPr>
        <w:t>Shandong Engineering Research Center of Green and High-value Marine Fine Chemical, Weifang University of Science and Technology, Weifang, China</w:t>
      </w:r>
    </w:p>
    <w:p w14:paraId="41115510">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Calibri" w:hAnsi="Calibri" w:eastAsia="宋体" w:cs="Calibri"/>
          <w:bCs/>
          <w:sz w:val="20"/>
          <w:szCs w:val="20"/>
          <w:shd w:val="clear" w:color="auto" w:fill="FFFFFF"/>
          <w:lang w:val="en-US" w:eastAsia="zh-CN"/>
        </w:rPr>
      </w:pPr>
      <w:r>
        <w:rPr>
          <w:rFonts w:hint="default" w:ascii="Calibri" w:hAnsi="Calibri" w:cs="Calibri"/>
          <w:bCs/>
          <w:sz w:val="20"/>
          <w:szCs w:val="20"/>
          <w:shd w:val="clear" w:color="auto" w:fill="FFFFFF"/>
          <w:vertAlign w:val="superscript"/>
          <w:lang w:val="en-US" w:eastAsia="zh-CN"/>
        </w:rPr>
        <w:t>4</w:t>
      </w:r>
      <w:r>
        <w:rPr>
          <w:rFonts w:hint="default" w:ascii="Calibri" w:hAnsi="Calibri" w:cs="Calibri"/>
          <w:bCs/>
          <w:sz w:val="20"/>
          <w:szCs w:val="20"/>
          <w:shd w:val="clear" w:color="auto" w:fill="FFFFFF"/>
        </w:rPr>
        <w:t>Toxicology and Sanitary Chemistry, School of Public Health, Capital Medical University</w:t>
      </w:r>
      <w:r>
        <w:rPr>
          <w:rFonts w:hint="default" w:ascii="Calibri" w:hAnsi="Calibri" w:cs="Calibri"/>
          <w:bCs/>
          <w:sz w:val="20"/>
          <w:szCs w:val="20"/>
          <w:shd w:val="clear" w:color="auto" w:fill="FFFFFF"/>
          <w:lang w:val="en-US" w:eastAsia="zh-CN"/>
        </w:rPr>
        <w:t>,</w:t>
      </w:r>
      <w:r>
        <w:rPr>
          <w:rFonts w:hint="default" w:ascii="Calibri" w:hAnsi="Calibri" w:cs="Calibri"/>
          <w:sz w:val="20"/>
          <w:szCs w:val="20"/>
        </w:rPr>
        <w:t xml:space="preserve"> Beijing, China</w:t>
      </w:r>
    </w:p>
    <w:p w14:paraId="567EE22C">
      <w:pPr>
        <w:keepNext w:val="0"/>
        <w:keepLines w:val="0"/>
        <w:pageBreakBefore w:val="0"/>
        <w:kinsoku/>
        <w:wordWrap/>
        <w:overflowPunct/>
        <w:topLinePunct w:val="0"/>
        <w:autoSpaceDE/>
        <w:autoSpaceDN/>
        <w:bidi w:val="0"/>
        <w:adjustRightInd/>
        <w:snapToGrid/>
        <w:spacing w:line="240" w:lineRule="auto"/>
        <w:textAlignment w:val="auto"/>
        <w:rPr>
          <w:rFonts w:hint="eastAsia"/>
          <w:sz w:val="22"/>
          <w:szCs w:val="22"/>
        </w:rPr>
      </w:pPr>
    </w:p>
    <w:p w14:paraId="447C94ED">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cs="Calibri"/>
          <w:b w:val="0"/>
          <w:bCs/>
          <w:sz w:val="20"/>
          <w:szCs w:val="20"/>
          <w:shd w:val="clear" w:color="auto" w:fill="FFFFFF"/>
          <w:lang w:eastAsia="zh-CN"/>
        </w:rPr>
      </w:pPr>
      <w:r>
        <w:rPr>
          <w:rFonts w:hint="eastAsia" w:ascii="Calibri" w:hAnsi="Calibri" w:cs="Calibri"/>
          <w:b/>
          <w:bCs w:val="0"/>
          <w:sz w:val="20"/>
          <w:szCs w:val="20"/>
          <w:shd w:val="clear" w:color="auto" w:fill="FFFFFF"/>
          <w:lang w:eastAsia="zh-CN"/>
        </w:rPr>
        <w:t>Introduction：</w:t>
      </w:r>
      <w:r>
        <w:rPr>
          <w:rFonts w:hint="default" w:ascii="Calibri" w:hAnsi="Calibri" w:cs="Calibri"/>
          <w:b w:val="0"/>
          <w:bCs/>
          <w:sz w:val="20"/>
          <w:szCs w:val="20"/>
          <w:shd w:val="clear" w:color="auto" w:fill="FFFFFF"/>
          <w:lang w:eastAsia="zh-CN"/>
        </w:rPr>
        <w:t>In this study, we revealed a novel mechanism by which nIGF1R facilitates hepatocellular carcinoma (HCC) progression by preventing Smurf2-dependent degradation of enhancer of zeste homolog 2 (EZH2). EZH2 is the catalytic subunit of polycomb repressive complex 2, which is frequently abnormal in cancers and which alters the entire epigenome by increasing H3K27me3 level. Therefore, EZH2 is a key therapeutic target for cancer treatment. Several EZH2 inhibitors exist. However, these EZH2 inhibitors are not as effective as anticipated, likely because activation of IGF1R confers resistance to EZH2 inhibitors in multiple cancers.</w:t>
      </w:r>
    </w:p>
    <w:p w14:paraId="10DAB048">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cs="Calibri"/>
          <w:b w:val="0"/>
          <w:bCs/>
          <w:sz w:val="20"/>
          <w:szCs w:val="20"/>
          <w:shd w:val="clear" w:color="auto" w:fill="FFFFFF"/>
          <w:lang w:eastAsia="zh-CN"/>
        </w:rPr>
      </w:pPr>
      <w:r>
        <w:rPr>
          <w:rFonts w:hint="default" w:ascii="Calibri" w:hAnsi="Calibri" w:cs="Calibri"/>
          <w:b w:val="0"/>
          <w:bCs/>
          <w:sz w:val="20"/>
          <w:szCs w:val="20"/>
          <w:shd w:val="clear" w:color="auto" w:fill="FFFFFF"/>
          <w:lang w:eastAsia="zh-CN"/>
        </w:rPr>
        <w:t xml:space="preserve">There is considerable interest in the SMAD Specific E3 Ubiquitin Protein Ligase 2 (Smurf2) because it controls the levels of other proteins by tagging them for proteasomal degradation. </w:t>
      </w:r>
      <w:r>
        <w:rPr>
          <w:rFonts w:hint="eastAsia" w:ascii="Calibri" w:hAnsi="Calibri" w:cs="Calibri"/>
          <w:b w:val="0"/>
          <w:bCs/>
          <w:sz w:val="20"/>
          <w:szCs w:val="20"/>
          <w:shd w:val="clear" w:color="auto" w:fill="FFFFFF"/>
          <w:lang w:val="en-US" w:eastAsia="zh-CN"/>
        </w:rPr>
        <w:t>W</w:t>
      </w:r>
      <w:r>
        <w:rPr>
          <w:rFonts w:hint="default" w:ascii="Calibri" w:hAnsi="Calibri" w:cs="Calibri"/>
          <w:b w:val="0"/>
          <w:bCs/>
          <w:sz w:val="20"/>
          <w:szCs w:val="20"/>
          <w:shd w:val="clear" w:color="auto" w:fill="FFFFFF"/>
          <w:lang w:eastAsia="zh-CN"/>
        </w:rPr>
        <w:t>e identified interactions between nIGF1R, Smurf2, and EZH2 in HCC cells when IGF1R was translocated into the nucleus. We propose that these interactions lead to upregulation of EZH2 level, which promotes HCC development.</w:t>
      </w:r>
    </w:p>
    <w:p w14:paraId="63F6FB08">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cs="Calibri"/>
          <w:b w:val="0"/>
          <w:bCs/>
          <w:sz w:val="20"/>
          <w:szCs w:val="20"/>
          <w:shd w:val="clear" w:color="auto" w:fill="FFFFFF"/>
          <w:lang w:val="en-US" w:eastAsia="zh-CN"/>
        </w:rPr>
      </w:pPr>
      <w:r>
        <w:rPr>
          <w:rFonts w:hint="eastAsia" w:ascii="Calibri" w:hAnsi="Calibri" w:cs="Calibri"/>
          <w:b/>
          <w:bCs w:val="0"/>
          <w:sz w:val="20"/>
          <w:szCs w:val="20"/>
          <w:shd w:val="clear" w:color="auto" w:fill="FFFFFF"/>
          <w:lang w:eastAsia="zh-CN"/>
        </w:rPr>
        <w:t>Aims</w:t>
      </w:r>
      <w:r>
        <w:rPr>
          <w:rFonts w:hint="eastAsia" w:ascii="Calibri" w:hAnsi="Calibri" w:cs="Calibri"/>
          <w:b/>
          <w:bCs w:val="0"/>
          <w:sz w:val="20"/>
          <w:szCs w:val="20"/>
          <w:shd w:val="clear" w:color="auto" w:fill="FFFFFF"/>
          <w:lang w:val="en-US" w:eastAsia="zh-CN"/>
        </w:rPr>
        <w:t>:</w:t>
      </w:r>
      <w:r>
        <w:rPr>
          <w:rFonts w:hint="eastAsia" w:ascii="Calibri" w:hAnsi="Calibri" w:cs="Calibri"/>
          <w:b w:val="0"/>
          <w:bCs/>
          <w:sz w:val="20"/>
          <w:szCs w:val="20"/>
          <w:shd w:val="clear" w:color="auto" w:fill="FFFFFF"/>
          <w:lang w:val="en-US" w:eastAsia="zh-CN"/>
        </w:rPr>
        <w:t>Nuclear IGF1R (nIGF1R) is associated with the development of hepatocellular carcinoma (HCC), but we presently lack a comprehensive, mechanistic understanding of this association. Here we uncovered a novel mechanism of nIGF1R in the promotion of HCC.</w:t>
      </w:r>
    </w:p>
    <w:p w14:paraId="115E2135">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cs="Calibri"/>
          <w:b/>
          <w:bCs w:val="0"/>
          <w:sz w:val="20"/>
          <w:szCs w:val="20"/>
          <w:shd w:val="clear" w:color="auto" w:fill="FFFFFF"/>
          <w:lang w:val="en-US" w:eastAsia="zh-CN"/>
        </w:rPr>
      </w:pPr>
      <w:r>
        <w:rPr>
          <w:rFonts w:hint="eastAsia" w:ascii="Calibri" w:hAnsi="Calibri" w:cs="Calibri"/>
          <w:b/>
          <w:bCs w:val="0"/>
          <w:sz w:val="20"/>
          <w:szCs w:val="20"/>
          <w:shd w:val="clear" w:color="auto" w:fill="FFFFFF"/>
          <w:lang w:eastAsia="zh-CN"/>
        </w:rPr>
        <w:t>Methods</w:t>
      </w:r>
      <w:r>
        <w:rPr>
          <w:rFonts w:hint="eastAsia" w:ascii="Calibri" w:hAnsi="Calibri" w:cs="Calibri"/>
          <w:b/>
          <w:bCs w:val="0"/>
          <w:sz w:val="20"/>
          <w:szCs w:val="20"/>
          <w:shd w:val="clear" w:color="auto" w:fill="FFFFFF"/>
          <w:lang w:val="en-US" w:eastAsia="zh-CN"/>
        </w:rPr>
        <w:t xml:space="preserve">: </w:t>
      </w:r>
      <w:r>
        <w:rPr>
          <w:rFonts w:hint="eastAsia" w:ascii="Calibri" w:hAnsi="Calibri" w:cs="Calibri"/>
          <w:b w:val="0"/>
          <w:bCs/>
          <w:sz w:val="20"/>
          <w:szCs w:val="20"/>
          <w:shd w:val="clear" w:color="auto" w:fill="FFFFFF"/>
          <w:lang w:val="en-US" w:eastAsia="zh-CN"/>
        </w:rPr>
        <w:t>Liquid chromatography-tandem mass spectrometry was performed for identifying the nIGF1R’s target. Stimulated emission depletion (STED) super-resolved microscopy analyzed the colocalization strength and the diameter between Zeste homolog 2 (EZH2) and Smad ubiquitination regulatory factor-2 (Smurf2) or nIGF1R. Orthotopic model of HCC in nude mice was employed for further interpreting the mechanism of nIGF1R in promoting cancer progression through preventing EZH2 degradation.</w:t>
      </w:r>
    </w:p>
    <w:p w14:paraId="1E68B054">
      <w:pPr>
        <w:keepNext w:val="0"/>
        <w:keepLines w:val="0"/>
        <w:pageBreakBefore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ascii="Calibri" w:hAnsi="Calibri" w:cs="Calibri"/>
          <w:b/>
          <w:bCs w:val="0"/>
          <w:sz w:val="20"/>
          <w:szCs w:val="20"/>
          <w:shd w:val="clear" w:color="auto" w:fill="FFFFFF"/>
          <w:lang w:eastAsia="zh-CN"/>
        </w:rPr>
        <w:t>Results and Discussion</w:t>
      </w:r>
      <w:r>
        <w:rPr>
          <w:rFonts w:hint="eastAsia" w:ascii="Calibri" w:hAnsi="Calibri" w:cs="Calibri"/>
          <w:b/>
          <w:bCs w:val="0"/>
          <w:sz w:val="20"/>
          <w:szCs w:val="20"/>
          <w:shd w:val="clear" w:color="auto" w:fill="FFFFFF"/>
          <w:lang w:val="en-US" w:eastAsia="zh-CN"/>
        </w:rPr>
        <w:t>:</w:t>
      </w:r>
      <w:r>
        <w:rPr>
          <w:rFonts w:hint="default" w:ascii="Calibri" w:hAnsi="Calibri" w:cs="Calibri"/>
          <w:b w:val="0"/>
          <w:bCs/>
          <w:sz w:val="20"/>
          <w:szCs w:val="20"/>
          <w:shd w:val="clear" w:color="auto" w:fill="FFFFFF"/>
          <w:lang w:val="en-US" w:eastAsia="zh-CN"/>
        </w:rPr>
        <w:t>Activation of IGF1R led to the nuclear translocation of IGF1R through the SUMOylation mediation. EZH2 was identified as the target of the newly nIGF1R. Mechanistically, the nIGF1R possessed a stronger affinity than Smurf2 to EZH2, leading to the disaggregation of the Smurf2-EZH2 complex, resulting in the prevention of the Smurf2-mediated EZH2 degradation. Further mechanism study revealed that the Tyr1161/1165/1166-initiated phosphorylation of IGF1R led to the conformational changes to flip its A-loop forward to the RNA binding helix of EZH2, which rendered the preferential binding of the nIGF1R with the RNA binding helix of EZH2 through competition with the HECT C-lobe of Smurf2, leading to the disaggregation of Smurf2-EZH2 complex. The disaggregation of Smurf2-EZH2 complex failed the Smurf2-mediated EZH2 degradation, resulting in the accumulation of EZH2. As the enzymatic catalytic subunit of PRC2, EZH2 accumulation led to the increases of H3K27me3 for promoting cancer progression. CONCLUSION: The nIGF1R promotes HCC progression through preventing the Smurf2-mediated degradation of EZH2.</w:t>
      </w:r>
      <w:r>
        <w:rPr>
          <w:rFonts w:hint="eastAsia" w:eastAsia="宋体"/>
          <w:sz w:val="24"/>
          <w:szCs w:val="24"/>
          <w:lang w:eastAsia="zh-CN"/>
        </w:rPr>
        <w:drawing>
          <wp:inline distT="0" distB="0" distL="114300" distR="114300">
            <wp:extent cx="3035935" cy="2125345"/>
            <wp:effectExtent l="0" t="0" r="12065" b="8255"/>
            <wp:docPr id="1" name="图片 1" descr="GRAPHIC ABS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RAPHIC ABSTRACT"/>
                    <pic:cNvPicPr>
                      <a:picLocks noChangeAspect="1"/>
                    </pic:cNvPicPr>
                  </pic:nvPicPr>
                  <pic:blipFill>
                    <a:blip r:embed="rId4"/>
                    <a:stretch>
                      <a:fillRect/>
                    </a:stretch>
                  </pic:blipFill>
                  <pic:spPr>
                    <a:xfrm>
                      <a:off x="0" y="0"/>
                      <a:ext cx="3035935" cy="2125345"/>
                    </a:xfrm>
                    <a:prstGeom prst="rect">
                      <a:avLst/>
                    </a:prstGeom>
                  </pic:spPr>
                </pic:pic>
              </a:graphicData>
            </a:graphic>
          </wp:inline>
        </w:drawing>
      </w:r>
    </w:p>
    <w:sectPr>
      <w:pgSz w:w="8390" w:h="11905"/>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818D1"/>
    <w:rsid w:val="482818D1"/>
    <w:rsid w:val="64563013"/>
    <w:rsid w:val="72E1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Words>
  <Characters>1095</Characters>
  <Lines>0</Lines>
  <Paragraphs>0</Paragraphs>
  <TotalTime>1</TotalTime>
  <ScaleCrop>false</ScaleCrop>
  <LinksUpToDate>false</LinksUpToDate>
  <CharactersWithSpaces>1269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2026-02-25T03:12:00Z</dcterms:created>
  <dc:creator>Lily</dc:creator>
  <cp:lastModifiedBy>Lily</cp:lastModifiedBy>
  <dcterms:modified xsi:type="dcterms:W3CDTF">2026-02-25T04:44:59Z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E6045A316F1846B6970CB07076AA097B_11</vt:lpwstr>
  </property>
  <property fmtid="{D5CDD505-2E9C-101B-9397-08002B2CF9AE}" pid="4" name="KSOTemplateDocerSaveRecord">
    <vt:lpwstr>eyJoZGlkIjoiNWI5MjljYzdhNDdlZTA2M2ZkMjc1NWRhZWViOTM4Y2QiLCJ1c2VySWQiOiIzNzgxMDI4MDUifQ==</vt:lpwstr>
  </property>
</Properties>
</file>