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F1B9" w14:textId="096193A9" w:rsidR="00C315D2" w:rsidRPr="00C315D2" w:rsidRDefault="00724FFA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 w:rsidRPr="00724FFA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Supercritical Anti-Solvent Technology in Esomeprazole Solid Dispersions </w:t>
      </w:r>
      <w:r w:rsidR="00C61E0A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for</w:t>
      </w:r>
      <w:r w:rsidRPr="00724FFA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Improve</w:t>
      </w:r>
      <w:r w:rsidR="00C61E0A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d</w:t>
      </w:r>
      <w:r w:rsidRPr="00724FFA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Dissolution and Bioavailability</w:t>
      </w:r>
    </w:p>
    <w:p w14:paraId="5A18B51F" w14:textId="72D14867" w:rsidR="00DC380D" w:rsidRPr="00DC380D" w:rsidRDefault="00FE285E" w:rsidP="00DC380D">
      <w:pPr>
        <w:spacing w:after="0" w:line="240" w:lineRule="auto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  <w:r w:rsidRPr="00284206"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Nguyen Ngoc Ha Phuong</w:t>
      </w:r>
      <w:r w:rsidR="00DC380D" w:rsidRPr="00284206"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¹,</w:t>
      </w: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 xml:space="preserve"> Nguyen Bao Anh</w:t>
      </w:r>
      <w:r w:rsidR="00DC380D" w:rsidRPr="00DC380D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 xml:space="preserve">¹, </w:t>
      </w: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Namrah Khan</w:t>
      </w:r>
      <w:r w:rsidR="00DC380D" w:rsidRPr="00DC380D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¹, Jeong-Sook Park¹</w:t>
      </w:r>
    </w:p>
    <w:p w14:paraId="47D76891" w14:textId="170DD0CE" w:rsidR="00C315D2" w:rsidRPr="00C315D2" w:rsidRDefault="00DC380D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DC380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¹Department of Physical Pharmacy, College of Pharmacy, Chungnam National University, Daejeon, Republic of Korea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2DD37039" w14:textId="77777777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2385039D" w14:textId="64CD4287" w:rsidR="00C315D2" w:rsidRP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DC380D" w:rsidRPr="00DC380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Esomeprazole magnesium (ESM), a salt of esomeprazole (ESO), has low oral bioavailability owing to its poor solubility.</w:t>
      </w:r>
      <w:r w:rsidR="00DC380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5331BF" w:rsidRPr="005331B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This study aimed to enhance its solubility and pharmacokinetics through the development of a solid dispersion (SD) using the supercritical anti-solvent (SAS) technique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15D93483" w14:textId="77777777" w:rsidR="00C315D2" w:rsidRPr="00DC380D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</w:pPr>
    </w:p>
    <w:p w14:paraId="48C0479A" w14:textId="041524D3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7E54B0" w:rsidRPr="007E54B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ESM-SAS-SD was prepared using supercritical carbon dioxide (scCO</w:t>
      </w:r>
      <w:r w:rsidR="007E54B0" w:rsidRPr="007E54B0">
        <w:rPr>
          <w:rFonts w:ascii="Cambria Math" w:eastAsia="Calibri" w:hAnsi="Cambria Math" w:cs="Cambria Math"/>
          <w:bCs/>
          <w:kern w:val="0"/>
          <w:sz w:val="20"/>
          <w:szCs w:val="20"/>
          <w14:ligatures w14:val="none"/>
        </w:rPr>
        <w:t>₂</w:t>
      </w:r>
      <w:r w:rsidR="007E54B0" w:rsidRPr="007E54B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) and a combination of polyvinylpyrrolidone K25 (PVP-K25), tocopherol polyethylene glycol 1000 succinate (TPGS), and calcium carbonate (CaCO</w:t>
      </w:r>
      <w:r w:rsidR="007E54B0" w:rsidRPr="007E54B0">
        <w:rPr>
          <w:rFonts w:ascii="Cambria Math" w:eastAsia="Calibri" w:hAnsi="Cambria Math" w:cs="Cambria Math"/>
          <w:bCs/>
          <w:kern w:val="0"/>
          <w:sz w:val="20"/>
          <w:szCs w:val="20"/>
          <w14:ligatures w14:val="none"/>
        </w:rPr>
        <w:t>₃</w:t>
      </w:r>
      <w:r w:rsidR="007E54B0" w:rsidRPr="007E54B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) as excipients. A comparative SD was also prepared using conventional solvent evaporation (ESM-CSE-SD). The formulations were characterized by differential scanning calorimetry (DSC) and scanning electron microscopy (SEM). </w:t>
      </w:r>
      <w:r w:rsidR="007E54B0" w:rsidRPr="007B0C2C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In vitro</w:t>
      </w:r>
      <w:r w:rsidR="007E54B0" w:rsidRPr="007E54B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drug release was assessed using dialysis</w:t>
      </w:r>
      <w:r w:rsidR="006A4CE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bag method</w:t>
      </w:r>
      <w:r w:rsidR="007E54B0" w:rsidRPr="007E54B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in phosphate buffer (pH 6.8), while cytotoxicity was evaluated in MDCK cells</w:t>
      </w:r>
      <w:r w:rsidR="006A4CE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using MTT assay</w:t>
      </w:r>
      <w:r w:rsidR="007E54B0" w:rsidRPr="007E54B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 Pharmacokinetic studies were conducted in rats following oral administration of 20 mg/kg ESM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1387B9C3" w14:textId="55AF4D4B" w:rsidR="00C315D2" w:rsidRDefault="007E15F2" w:rsidP="008B010C">
      <w:pPr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noProof/>
          <w:kern w:val="0"/>
          <w14:ligatures w14:val="none"/>
        </w:rPr>
        <w:drawing>
          <wp:inline distT="0" distB="0" distL="0" distR="0" wp14:anchorId="479842EC" wp14:editId="4263C422">
            <wp:extent cx="3657600" cy="1796350"/>
            <wp:effectExtent l="0" t="0" r="0" b="0"/>
            <wp:docPr id="1967989234" name="Hình ả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341" cy="1808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331AD2" w14:textId="7D421EDF" w:rsidR="008B010C" w:rsidRDefault="008B010C" w:rsidP="008B010C">
      <w:pPr>
        <w:spacing w:after="0" w:line="240" w:lineRule="auto"/>
        <w:jc w:val="center"/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  <w:t xml:space="preserve">Figure 1. </w:t>
      </w:r>
      <w:r w:rsidR="009425C0" w:rsidRPr="009425C0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Schematic of the experimental process of the SAS method</w:t>
      </w:r>
      <w:r w:rsidR="009425C0" w:rsidRPr="009425C0"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  <w:t>.</w:t>
      </w:r>
    </w:p>
    <w:p w14:paraId="3544D56C" w14:textId="77777777" w:rsidR="008B010C" w:rsidRPr="007E54B0" w:rsidRDefault="008B010C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58EE2702" w14:textId="5A91984B" w:rsidR="00C315D2" w:rsidRPr="00C315D2" w:rsidRDefault="00795378" w:rsidP="2021B9E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8B010C" w:rsidRPr="008B010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DSC and SEM confirmed that both SD methods </w:t>
      </w:r>
      <w:r w:rsidR="006C1F3B" w:rsidRPr="006C1F3B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transformed ESM from a crystalline to an amorphous state; however, the SAS process resulted in a product with a more porous morphology, leading to a higher dissolution rate of ESM-SAS-SD than that of ESM-CSE-SD</w:t>
      </w:r>
      <w:r w:rsidR="008B010C" w:rsidRPr="008B010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. In vitro release of ESM from SAS-based SD reached 91.5% within 30 min, compared to 85.2% for ESM-CSE-SD and only 21.3% for raw ESM powder. Cell viability remained above 95% at 100 μg/mL for all formulations, indicating minimal cytotoxicity. Pharmacokinetic </w:t>
      </w:r>
      <w:r w:rsidR="006C1F3B" w:rsidRPr="006C1F3B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studies revealed</w:t>
      </w:r>
      <w:r w:rsidR="006C1F3B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8B010C" w:rsidRPr="008B010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that </w:t>
      </w:r>
      <w:r w:rsidR="006C1F3B" w:rsidRPr="006C1F3B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ESM-SAS-SD exhibited the best pharmacokinetic profile among the three tested formulations</w:t>
      </w:r>
      <w:r w:rsidR="008B010C" w:rsidRPr="008B010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, showing 2.28-fold (</w:t>
      </w:r>
      <w:r w:rsidR="008B010C" w:rsidRPr="006C1F3B">
        <w:rPr>
          <w:rFonts w:ascii="Arial" w:eastAsia="Calibri" w:hAnsi="Arial" w:cs="Calibri"/>
          <w:i/>
          <w:iCs/>
          <w:kern w:val="0"/>
          <w:sz w:val="20"/>
          <w:szCs w:val="20"/>
          <w:lang w:val="en-US"/>
          <w14:ligatures w14:val="none"/>
        </w:rPr>
        <w:t>p &lt; 0.01</w:t>
      </w:r>
      <w:r w:rsidR="008B010C" w:rsidRPr="008B010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) higher AUC</w:t>
      </w:r>
      <w:r w:rsidR="008B010C" w:rsidRPr="008B010C">
        <w:rPr>
          <w:rFonts w:ascii="Cambria Math" w:eastAsia="Calibri" w:hAnsi="Cambria Math" w:cs="Cambria Math"/>
          <w:kern w:val="0"/>
          <w:sz w:val="20"/>
          <w:szCs w:val="20"/>
          <w:lang w:val="en-US"/>
          <w14:ligatures w14:val="none"/>
        </w:rPr>
        <w:t>₀</w:t>
      </w:r>
      <w:r w:rsidR="008B010C" w:rsidRPr="008B010C">
        <w:rPr>
          <w:rFonts w:ascii="Arial" w:eastAsia="Calibri" w:hAnsi="Arial" w:cs="Arial"/>
          <w:kern w:val="0"/>
          <w:sz w:val="20"/>
          <w:szCs w:val="20"/>
          <w:lang w:val="en-US"/>
          <w14:ligatures w14:val="none"/>
        </w:rPr>
        <w:t>–∞</w:t>
      </w:r>
      <w:r w:rsidR="008B010C" w:rsidRPr="008B010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and 3.79-fold  (</w:t>
      </w:r>
      <w:r w:rsidR="008B010C" w:rsidRPr="006C1F3B">
        <w:rPr>
          <w:rFonts w:ascii="Arial" w:eastAsia="Calibri" w:hAnsi="Arial" w:cs="Calibri"/>
          <w:i/>
          <w:iCs/>
          <w:kern w:val="0"/>
          <w:sz w:val="20"/>
          <w:szCs w:val="20"/>
          <w:lang w:val="en-US"/>
          <w14:ligatures w14:val="none"/>
        </w:rPr>
        <w:t>p &lt; 0.001</w:t>
      </w:r>
      <w:r w:rsidR="008B010C" w:rsidRPr="008B010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) higher C</w:t>
      </w:r>
      <w:r w:rsidR="008B010C" w:rsidRPr="006C1F3B">
        <w:rPr>
          <w:rFonts w:ascii="Arial" w:eastAsia="Calibri" w:hAnsi="Arial" w:cs="Calibri"/>
          <w:kern w:val="0"/>
          <w:sz w:val="20"/>
          <w:szCs w:val="20"/>
          <w:vertAlign w:val="subscript"/>
          <w:lang w:val="en-US"/>
          <w14:ligatures w14:val="none"/>
        </w:rPr>
        <w:t>max</w:t>
      </w:r>
      <w:r w:rsidR="008B010C" w:rsidRPr="008B010C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compared to ESM powder</w:t>
      </w:r>
      <w:r w:rsidR="006C1F3B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.</w:t>
      </w:r>
    </w:p>
    <w:p w14:paraId="37683296" w14:textId="77777777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65E846CD" w14:textId="283A6C96" w:rsidR="00C315D2" w:rsidRP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5A3C5D" w:rsidRPr="005A3C5D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The SAS-based solid dispersion method significantly improved the dissolution and bioavailability of esomeprazole magnesium (ESM) without increasing cytotoxicity. This solvent-free, scalable approach successfully enhanced the physicochemical and pharmacokinetic properties of ESM, offering a robust formulation strategy for poorly soluble drugs requiring enhanced oral delivery.</w:t>
      </w:r>
    </w:p>
    <w:p w14:paraId="1AF10CAD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2F4EFA29" w14:textId="58E3D918" w:rsidR="00A732A2" w:rsidRDefault="00C315D2" w:rsidP="00A732A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A732A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br/>
        <w:t xml:space="preserve">(1) </w:t>
      </w:r>
      <w:r w:rsidR="00A732A2" w:rsidRPr="00A732A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Ha, E.-S., Kang, H.-T., Park, H., Kim, S., &amp; Kim, M.-S. (2023). Advanced technology using supercritical fluid for particle production in pharmaceutical continuous manufacturing. </w:t>
      </w:r>
      <w:r w:rsidR="00A732A2" w:rsidRPr="00A732A2">
        <w:rPr>
          <w:rFonts w:ascii="Arial" w:eastAsia="Calibri" w:hAnsi="Arial" w:cs="Calibri"/>
          <w:bCs/>
          <w:i/>
          <w:iCs/>
          <w:kern w:val="0"/>
          <w:sz w:val="20"/>
          <w:szCs w:val="20"/>
          <w:lang w:val="en-US"/>
          <w14:ligatures w14:val="none"/>
        </w:rPr>
        <w:t>Journal of Pharmaceutical Investigation, 53(3)</w:t>
      </w:r>
      <w:r w:rsidR="00A732A2" w:rsidRPr="00A732A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, 249–267. </w:t>
      </w:r>
      <w:hyperlink r:id="rId9" w:history="1">
        <w:r w:rsidR="00A732A2" w:rsidRPr="00C924EC">
          <w:rPr>
            <w:rStyle w:val="Siuktni"/>
            <w:rFonts w:ascii="Arial" w:eastAsia="Calibri" w:hAnsi="Arial" w:cs="Calibri"/>
            <w:bCs/>
            <w:kern w:val="0"/>
            <w:sz w:val="20"/>
            <w:szCs w:val="20"/>
            <w:lang w:val="en-US"/>
            <w14:ligatures w14:val="none"/>
          </w:rPr>
          <w:t>https://doi.org/10.1007/s40005-022-00601-y</w:t>
        </w:r>
      </w:hyperlink>
      <w:r w:rsidR="00A732A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br/>
        <w:t xml:space="preserve">(2) </w:t>
      </w:r>
      <w:r w:rsidR="00A732A2" w:rsidRPr="00A732A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Kim, J.-S., Park, H., Kang, K.-T., Ha, E.-S., Kim, M.-S., &amp; Hwang, S.-J. (2022). Micronization of a poorly water-soluble drug, fenofibrate, via supercritical-fluid-assisted spray-drying. </w:t>
      </w:r>
      <w:r w:rsidR="00A732A2" w:rsidRPr="00A732A2">
        <w:rPr>
          <w:rFonts w:ascii="Arial" w:eastAsia="Calibri" w:hAnsi="Arial" w:cs="Calibri"/>
          <w:bCs/>
          <w:i/>
          <w:iCs/>
          <w:kern w:val="0"/>
          <w:sz w:val="20"/>
          <w:szCs w:val="20"/>
          <w:lang w:val="en-US"/>
          <w14:ligatures w14:val="none"/>
        </w:rPr>
        <w:t>Journal of Pharmaceutical Investigation, 52(3)</w:t>
      </w:r>
      <w:r w:rsidR="00A732A2" w:rsidRPr="00A732A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, 353–366. </w:t>
      </w:r>
      <w:hyperlink r:id="rId10" w:history="1">
        <w:r w:rsidR="00A732A2" w:rsidRPr="00C924EC">
          <w:rPr>
            <w:rStyle w:val="Siuktni"/>
            <w:rFonts w:ascii="Arial" w:eastAsia="Calibri" w:hAnsi="Arial" w:cs="Calibri"/>
            <w:bCs/>
            <w:kern w:val="0"/>
            <w:sz w:val="20"/>
            <w:szCs w:val="20"/>
            <w:lang w:val="en-US"/>
            <w14:ligatures w14:val="none"/>
          </w:rPr>
          <w:t>https://doi.org/10.1007/s40005-022-00565-z</w:t>
        </w:r>
      </w:hyperlink>
      <w:r w:rsidR="00A732A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br/>
        <w:t xml:space="preserve">(3) </w:t>
      </w:r>
      <w:r w:rsidR="00A732A2" w:rsidRPr="00A732A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Kim, Y., Park, E. J., Kim, T. W., &amp; Na, D. H. (2021). Recent progress in drug release testing methods of biopolymeric particulate systems. </w:t>
      </w:r>
      <w:r w:rsidR="00A732A2" w:rsidRPr="00A732A2">
        <w:rPr>
          <w:rFonts w:ascii="Arial" w:eastAsia="Calibri" w:hAnsi="Arial" w:cs="Calibri"/>
          <w:bCs/>
          <w:i/>
          <w:iCs/>
          <w:kern w:val="0"/>
          <w:sz w:val="20"/>
          <w:szCs w:val="20"/>
          <w:lang w:val="en-US"/>
          <w14:ligatures w14:val="none"/>
        </w:rPr>
        <w:t>Pharmaceutics, 13(8)</w:t>
      </w:r>
      <w:r w:rsidR="00A732A2" w:rsidRPr="00A732A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, 1313. </w:t>
      </w:r>
      <w:hyperlink r:id="rId11" w:history="1">
        <w:r w:rsidR="00A732A2" w:rsidRPr="00C924EC">
          <w:rPr>
            <w:rStyle w:val="Siuktni"/>
            <w:rFonts w:ascii="Arial" w:eastAsia="Calibri" w:hAnsi="Arial" w:cs="Calibri"/>
            <w:bCs/>
            <w:kern w:val="0"/>
            <w:sz w:val="20"/>
            <w:szCs w:val="20"/>
            <w:lang w:val="en-US"/>
            <w14:ligatures w14:val="none"/>
          </w:rPr>
          <w:t>https://doi.org/10.3390/pharmaceutics13081313</w:t>
        </w:r>
      </w:hyperlink>
      <w:r w:rsidR="00A732A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br/>
        <w:t xml:space="preserve">(4) </w:t>
      </w:r>
      <w:r w:rsidR="00A732A2" w:rsidRPr="00A732A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Tran, P., &amp; Park, J.-S. (2021). Application of supercritical fluid technology for solid dispersion to </w:t>
      </w:r>
      <w:r w:rsidR="00A732A2" w:rsidRPr="00A732A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lastRenderedPageBreak/>
        <w:t>enhance solubility and bioavailability of poorly water-soluble drugs</w:t>
      </w:r>
      <w:r w:rsidR="00A732A2" w:rsidRPr="00A732A2">
        <w:rPr>
          <w:rFonts w:ascii="Arial" w:eastAsia="Calibri" w:hAnsi="Arial" w:cs="Calibri"/>
          <w:bCs/>
          <w:i/>
          <w:iCs/>
          <w:kern w:val="0"/>
          <w:sz w:val="20"/>
          <w:szCs w:val="20"/>
          <w:lang w:val="en-US"/>
          <w14:ligatures w14:val="none"/>
        </w:rPr>
        <w:t>. International Journal of Pharmaceutics, 610,</w:t>
      </w:r>
      <w:r w:rsidR="00A732A2" w:rsidRPr="00A732A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121247. </w:t>
      </w:r>
      <w:hyperlink r:id="rId12" w:history="1">
        <w:r w:rsidR="004E708E" w:rsidRPr="00C924EC">
          <w:rPr>
            <w:rStyle w:val="Siuktni"/>
            <w:rFonts w:ascii="Arial" w:eastAsia="Calibri" w:hAnsi="Arial" w:cs="Calibri"/>
            <w:bCs/>
            <w:kern w:val="0"/>
            <w:sz w:val="20"/>
            <w:szCs w:val="20"/>
            <w:lang w:val="en-US"/>
            <w14:ligatures w14:val="none"/>
          </w:rPr>
          <w:t>https://doi.org/10.1016/j.ijpharm.2021.121247</w:t>
        </w:r>
      </w:hyperlink>
    </w:p>
    <w:p w14:paraId="60EA18F2" w14:textId="77777777" w:rsidR="004E708E" w:rsidRPr="009B1CBB" w:rsidRDefault="004E708E" w:rsidP="00A732A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</w:p>
    <w:sectPr w:rsidR="004E708E" w:rsidRPr="009B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3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53892"/>
    <w:rsid w:val="00107368"/>
    <w:rsid w:val="00113BB7"/>
    <w:rsid w:val="002017E6"/>
    <w:rsid w:val="00283A93"/>
    <w:rsid w:val="00284206"/>
    <w:rsid w:val="00294059"/>
    <w:rsid w:val="003206E4"/>
    <w:rsid w:val="003A6D5C"/>
    <w:rsid w:val="004A51B6"/>
    <w:rsid w:val="004E708E"/>
    <w:rsid w:val="00510CF8"/>
    <w:rsid w:val="005331BF"/>
    <w:rsid w:val="00575A29"/>
    <w:rsid w:val="00583B86"/>
    <w:rsid w:val="005A3C5D"/>
    <w:rsid w:val="00601754"/>
    <w:rsid w:val="006A34BE"/>
    <w:rsid w:val="006A4CEF"/>
    <w:rsid w:val="006C1F3B"/>
    <w:rsid w:val="006F3F1C"/>
    <w:rsid w:val="007141F2"/>
    <w:rsid w:val="00724FFA"/>
    <w:rsid w:val="007561D8"/>
    <w:rsid w:val="00795378"/>
    <w:rsid w:val="00796206"/>
    <w:rsid w:val="007B0C2C"/>
    <w:rsid w:val="007C367E"/>
    <w:rsid w:val="007E15F2"/>
    <w:rsid w:val="007E54B0"/>
    <w:rsid w:val="008071C5"/>
    <w:rsid w:val="008B010C"/>
    <w:rsid w:val="008E2F00"/>
    <w:rsid w:val="00906D34"/>
    <w:rsid w:val="00933DC9"/>
    <w:rsid w:val="00936D4C"/>
    <w:rsid w:val="009425C0"/>
    <w:rsid w:val="009523F9"/>
    <w:rsid w:val="009650DF"/>
    <w:rsid w:val="009B1CBB"/>
    <w:rsid w:val="009D47C0"/>
    <w:rsid w:val="00A0516D"/>
    <w:rsid w:val="00A140DA"/>
    <w:rsid w:val="00A4272C"/>
    <w:rsid w:val="00A732A2"/>
    <w:rsid w:val="00AC2FB0"/>
    <w:rsid w:val="00B4721D"/>
    <w:rsid w:val="00B8473A"/>
    <w:rsid w:val="00C21815"/>
    <w:rsid w:val="00C315D2"/>
    <w:rsid w:val="00C353D8"/>
    <w:rsid w:val="00C61E0A"/>
    <w:rsid w:val="00CC650C"/>
    <w:rsid w:val="00CF5A91"/>
    <w:rsid w:val="00D02BB1"/>
    <w:rsid w:val="00D17B71"/>
    <w:rsid w:val="00D45A74"/>
    <w:rsid w:val="00D7428F"/>
    <w:rsid w:val="00DA6E00"/>
    <w:rsid w:val="00DC380D"/>
    <w:rsid w:val="00EC3746"/>
    <w:rsid w:val="00EF7979"/>
    <w:rsid w:val="00F539FB"/>
    <w:rsid w:val="00F85528"/>
    <w:rsid w:val="00FE285E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C315D2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C315D2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C315D2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C315D2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character" w:styleId="Siuktni">
    <w:name w:val="Hyperlink"/>
    <w:basedOn w:val="Phngmcinhcuaoanvn"/>
    <w:uiPriority w:val="99"/>
    <w:unhideWhenUsed/>
    <w:rsid w:val="00A732A2"/>
    <w:rPr>
      <w:color w:val="467886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A73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4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016/j.ijpharm.2021.12124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3390/pharmaceutics13081313" TargetMode="External"/><Relationship Id="rId5" Type="http://schemas.openxmlformats.org/officeDocument/2006/relationships/styles" Target="styles.xml"/><Relationship Id="rId10" Type="http://schemas.openxmlformats.org/officeDocument/2006/relationships/hyperlink" Target="https://doi.org/10.1007/s40005-022-00565-z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i.org/10.1007/s40005-022-00601-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572</Words>
  <Characters>3262</Characters>
  <Application>Microsoft Office Word</Application>
  <DocSecurity>2</DocSecurity>
  <Lines>27</Lines>
  <Paragraphs>7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NguyenNgoc Ha Phuong</cp:lastModifiedBy>
  <cp:revision>13</cp:revision>
  <dcterms:created xsi:type="dcterms:W3CDTF">2025-05-29T07:27:00Z</dcterms:created>
  <dcterms:modified xsi:type="dcterms:W3CDTF">2025-05-30T01:50:00Z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