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3C447DB2" w:rsidR="00711813" w:rsidRPr="00DF1C8E" w:rsidRDefault="00B17AC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B17ACD">
        <w:rPr>
          <w:rFonts w:ascii="Calibri" w:hAnsi="Calibri" w:cs="Calibri"/>
          <w:b/>
          <w:sz w:val="28"/>
          <w:szCs w:val="28"/>
          <w:lang w:val="en-AU"/>
        </w:rPr>
        <w:t>Super-resolution in-depth imaging of single nanoparticles inside spheroids by Near-infrared Bessel-beam nanoscopy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9603DBA" w:rsidR="00DF1C8E" w:rsidRPr="005F19FF" w:rsidRDefault="00B17ACD" w:rsidP="00B17ACD">
      <w:pPr>
        <w:jc w:val="center"/>
        <w:rPr>
          <w:rFonts w:ascii="Calibri" w:hAnsi="Calibri" w:cs="Calibri"/>
          <w:i/>
          <w:lang w:val="en-AU"/>
        </w:rPr>
      </w:pPr>
      <w:r w:rsidRPr="00B17ACD">
        <w:rPr>
          <w:rFonts w:ascii="Calibri" w:hAnsi="Calibri" w:cs="Calibri"/>
          <w:i/>
          <w:lang w:val="en-AU"/>
        </w:rPr>
        <w:t xml:space="preserve">Yongtao Liu 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Pr="00B17ACD">
        <w:rPr>
          <w:rFonts w:ascii="Calibri" w:hAnsi="Calibri" w:cs="Calibri"/>
          <w:i/>
          <w:lang w:val="en-AU"/>
        </w:rPr>
        <w:t xml:space="preserve">Fan Wang 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>, Hongxu Lu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r>
        <w:rPr>
          <w:rFonts w:ascii="Calibri" w:hAnsi="Calibri" w:cs="Calibri"/>
          <w:i/>
          <w:lang w:val="en-AU"/>
        </w:rPr>
        <w:t>,Shihui wen</w:t>
      </w:r>
      <w:r w:rsidRPr="005F19FF">
        <w:rPr>
          <w:rFonts w:ascii="Calibri" w:hAnsi="Calibri" w:cs="Calibri"/>
          <w:i/>
          <w:vertAlign w:val="superscript"/>
          <w:lang w:val="en-AU"/>
        </w:rPr>
        <w:t>A,</w:t>
      </w:r>
      <w:r>
        <w:rPr>
          <w:rFonts w:ascii="Calibri" w:hAnsi="Calibri" w:cs="Calibri"/>
          <w:i/>
          <w:lang w:val="en-AU"/>
        </w:rPr>
        <w:t xml:space="preserve"> Chaohao chen</w:t>
      </w:r>
      <w:r w:rsidRPr="00B17ACD">
        <w:rPr>
          <w:rFonts w:ascii="Calibri" w:hAnsi="Calibri" w:cs="Calibri"/>
          <w:i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Xuchen Shan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>, Baolei Liu</w:t>
      </w:r>
      <w:r w:rsidRPr="00B17ACD">
        <w:rPr>
          <w:rFonts w:ascii="Calibri" w:hAnsi="Calibri" w:cs="Calibri"/>
          <w:i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Xuchen Shan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>, Dayong Jin</w:t>
      </w:r>
    </w:p>
    <w:p w14:paraId="4B4B1061" w14:textId="47D9B2EC" w:rsidR="00B17ACD" w:rsidRDefault="005F19FF" w:rsidP="00B17ACD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B17ACD" w:rsidRPr="00B17ACD">
        <w:rPr>
          <w:rFonts w:ascii="Calibri" w:hAnsi="Calibri" w:cs="Calibri"/>
          <w:sz w:val="22"/>
          <w:szCs w:val="22"/>
          <w:lang w:val="en-AU"/>
        </w:rPr>
        <w:t>Institute for Biomedical Materials and Devices (IBMD), Faculty of Science, University of Technology Sydney, NSW 2007, Australia.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Organisation, </w:t>
      </w:r>
      <w:r w:rsidR="001A21AD" w:rsidRPr="006B3866">
        <w:rPr>
          <w:rFonts w:ascii="Calibri" w:hAnsi="Calibri" w:cs="Calibri"/>
          <w:sz w:val="22"/>
          <w:szCs w:val="22"/>
          <w:lang w:val="en-AU"/>
        </w:rPr>
        <w:t>City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>, Country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</w:p>
    <w:p w14:paraId="49EF8C2D" w14:textId="63839DD6" w:rsidR="00711813" w:rsidRPr="006B3866" w:rsidRDefault="005F19FF" w:rsidP="00B17ACD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B17ACD" w:rsidRPr="00B17ACD">
        <w:rPr>
          <w:rFonts w:ascii="Calibri" w:hAnsi="Calibri" w:cs="Calibri"/>
          <w:sz w:val="22"/>
          <w:szCs w:val="22"/>
          <w:lang w:val="en-AU"/>
        </w:rPr>
        <w:t>School of Chemistry, Centre for Advanced Macromolecular Design (CAMD) University of New South Wales, Kensington, Sydney, NSW 2052, Australia</w:t>
      </w:r>
      <w:r w:rsidR="00B17ACD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6111C639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1CC7338C" w:rsidR="00711813" w:rsidRPr="006B3866" w:rsidRDefault="00BC342E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405A4" wp14:editId="7D0246C4">
                <wp:simplePos x="0" y="0"/>
                <wp:positionH relativeFrom="column">
                  <wp:posOffset>3186430</wp:posOffset>
                </wp:positionH>
                <wp:positionV relativeFrom="paragraph">
                  <wp:posOffset>3601720</wp:posOffset>
                </wp:positionV>
                <wp:extent cx="292989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E431AF" w14:textId="1BD61BAF" w:rsidR="00BC342E" w:rsidRPr="00104261" w:rsidRDefault="00BC342E" w:rsidP="00BC342E">
                            <w:pPr>
                              <w:pStyle w:val="Caption"/>
                              <w:rPr>
                                <w:rFonts w:ascii="Calibri" w:hAnsi="Calibri" w:cs="Calibri"/>
                                <w:noProof/>
                                <w:sz w:val="22"/>
                              </w:rPr>
                            </w:pPr>
                            <w:r w:rsidRPr="00387911">
                              <w:t>Figure 1:(a) Schematic of different excitation beam  setup for deep tissue fluorescence imaging,(b) The power dependence resolution of B-NIRS</w:t>
                            </w:r>
                            <w:r w:rsidR="000147E3">
                              <w:t xml:space="preserve"> microscope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405A4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50.9pt;margin-top:283.6pt;width:230.7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" stroked="f">
                <v:textbox style="mso-fit-shape-to-text:t" inset="0,0,0,0">
                  <w:txbxContent>
                    <w:p w14:paraId="51E431AF" w14:textId="1BD61BAF" w:rsidR="00BC342E" w:rsidRPr="00104261" w:rsidRDefault="00BC342E" w:rsidP="00BC342E">
                      <w:pPr>
                        <w:pStyle w:val="Caption"/>
                        <w:rPr>
                          <w:rFonts w:ascii="Calibri" w:hAnsi="Calibri" w:cs="Calibri"/>
                          <w:noProof/>
                          <w:sz w:val="22"/>
                        </w:rPr>
                      </w:pPr>
                      <w:r w:rsidRPr="00387911">
                        <w:t>Figure 1:(a) Schematic of different excitation beam  setup for deep tissue fluorescence imaging,(b) The power dependence resolution of B-NIRS</w:t>
                      </w:r>
                      <w:r w:rsidR="000147E3">
                        <w:t xml:space="preserve"> microscope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C342E">
        <w:rPr>
          <w:rFonts w:ascii="Calibri" w:hAnsi="Calibri" w:cs="Calibri"/>
          <w:noProof/>
          <w:sz w:val="22"/>
          <w:szCs w:val="22"/>
          <w:lang w:val="en-AU" w:eastAsia="zh-CN"/>
        </w:rPr>
        <w:drawing>
          <wp:anchor distT="0" distB="0" distL="114300" distR="114300" simplePos="0" relativeHeight="251658240" behindDoc="1" locked="0" layoutInCell="1" allowOverlap="1" wp14:anchorId="039FF5EE" wp14:editId="6DBAE835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929890" cy="3487420"/>
            <wp:effectExtent l="0" t="0" r="3810" b="0"/>
            <wp:wrapTight wrapText="bothSides">
              <wp:wrapPolygon edited="0">
                <wp:start x="0" y="0"/>
                <wp:lineTo x="0" y="21474"/>
                <wp:lineTo x="21488" y="21474"/>
                <wp:lineTo x="21488" y="0"/>
                <wp:lineTo x="0" y="0"/>
              </wp:wrapPolygon>
            </wp:wrapTight>
            <wp:docPr id="6" name="图片 6" descr="F:\OneDrive - UTS\iccon2020\新建 Microsoft Visio 绘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neDrive - UTS\iccon2020\新建 Microsoft Visio 绘图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013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566D31" wp14:editId="7BB3FD59">
                <wp:simplePos x="0" y="0"/>
                <wp:positionH relativeFrom="column">
                  <wp:posOffset>3841750</wp:posOffset>
                </wp:positionH>
                <wp:positionV relativeFrom="paragraph">
                  <wp:posOffset>1911350</wp:posOffset>
                </wp:positionV>
                <wp:extent cx="22402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173734" w14:textId="0D760C2D" w:rsidR="00797013" w:rsidRPr="0021252F" w:rsidRDefault="00797013" w:rsidP="00797013">
                            <w:pPr>
                              <w:pStyle w:val="Caption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6D31" id="Text Box 1" o:spid="_x0000_s1027" type="#_x0000_t202" style="position:absolute;left:0;text-align:left;margin-left:302.5pt;margin-top:150.5pt;width:176.4pt;height:.0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" stroked="f">
                <v:textbox style="mso-fit-shape-to-text:t" inset="0,0,0,0">
                  <w:txbxContent>
                    <w:p w14:paraId="49173734" w14:textId="0D760C2D" w:rsidR="00797013" w:rsidRPr="0021252F" w:rsidRDefault="00797013" w:rsidP="00797013">
                      <w:pPr>
                        <w:pStyle w:val="Caption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Introduction.</w:t>
      </w:r>
      <w:bookmarkStart w:id="0" w:name="_GoBack"/>
      <w:bookmarkEnd w:id="0"/>
    </w:p>
    <w:p w14:paraId="02643439" w14:textId="29C53911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13B02A04"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Aims. </w:t>
      </w:r>
      <w:r w:rsidR="001F3125">
        <w:rPr>
          <w:rFonts w:ascii="Calibri" w:hAnsi="Calibri" w:cs="Calibri"/>
          <w:sz w:val="22"/>
          <w:szCs w:val="22"/>
          <w:lang w:val="en-AU"/>
        </w:rPr>
        <w:t>W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>e report a nanoscopy strategy that applying “non-diffractive” beam and near-infrared imaging probe to minimize the light scattering and absorption inside the spheroid.</w:t>
      </w:r>
      <w:r w:rsidR="001F3125" w:rsidRPr="001F3125">
        <w:t xml:space="preserve"> </w:t>
      </w:r>
      <w:r w:rsidR="001F3125">
        <w:rPr>
          <w:rFonts w:ascii="Calibri" w:hAnsi="Calibri" w:cs="Calibri"/>
          <w:sz w:val="22"/>
          <w:szCs w:val="22"/>
          <w:lang w:val="en-AU"/>
        </w:rPr>
        <w:t xml:space="preserve">In order to 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>image single upconversion nanoparticles inside spheroids</w:t>
      </w:r>
      <w:r w:rsidR="001F3125">
        <w:rPr>
          <w:rFonts w:ascii="Calibri" w:hAnsi="Calibri" w:cs="Calibri"/>
          <w:sz w:val="22"/>
          <w:szCs w:val="22"/>
          <w:lang w:val="en-AU"/>
        </w:rPr>
        <w:t>.</w:t>
      </w:r>
    </w:p>
    <w:p w14:paraId="4194454A" w14:textId="77777777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4EDB3FE7" w:rsidR="0071181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Methods. 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>Adopting from the “non-diffractive” Bessel beam, Bessel-LG01 (B-LG01-VIS) nanoscopy can moderate the scattering from biological tissue</w:t>
      </w:r>
      <w:r w:rsidR="001F312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>achieving longer imaging depth</w:t>
      </w:r>
      <w:r w:rsidR="001F3125">
        <w:rPr>
          <w:rFonts w:ascii="Calibri" w:hAnsi="Calibri" w:cs="Calibri"/>
          <w:sz w:val="22"/>
          <w:szCs w:val="22"/>
          <w:lang w:val="en-AU"/>
        </w:rPr>
        <w:t>.</w:t>
      </w:r>
    </w:p>
    <w:p w14:paraId="70546230" w14:textId="77777777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92354F5" w14:textId="0738D99E" w:rsidR="0004557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Results. 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 xml:space="preserve">We further demonstrate that this method can image single upconversion nanoparticles inside spheroids, as deep as </w:t>
      </w:r>
      <w:r w:rsidR="00797013">
        <w:rPr>
          <w:rFonts w:ascii="Calibri" w:hAnsi="Calibri" w:cs="Calibri"/>
          <w:sz w:val="22"/>
          <w:szCs w:val="22"/>
          <w:lang w:val="en-AU"/>
        </w:rPr>
        <w:t>50</w:t>
      </w:r>
      <w:r w:rsidR="001F3125" w:rsidRPr="001F3125">
        <w:rPr>
          <w:rFonts w:ascii="Calibri" w:hAnsi="Calibri" w:cs="Calibri"/>
          <w:sz w:val="22"/>
          <w:szCs w:val="22"/>
          <w:lang w:val="en-AU"/>
        </w:rPr>
        <w:t xml:space="preserve"> µm, with a resolution of 98 nm.</w:t>
      </w:r>
    </w:p>
    <w:p w14:paraId="2B7EDDB3" w14:textId="03F2C9CC" w:rsidR="00EF12F3" w:rsidRPr="006B3866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Discussion. </w:t>
      </w:r>
    </w:p>
    <w:p w14:paraId="3D0BD353" w14:textId="77777777" w:rsidR="00EF12F3" w:rsidRPr="006B3866" w:rsidRDefault="00EF12F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BF4CD37" w14:textId="77A67090" w:rsidR="002C7FB9" w:rsidRPr="00577240" w:rsidRDefault="00045573" w:rsidP="002C7FB9">
      <w:pPr>
        <w:spacing w:line="276" w:lineRule="auto"/>
        <w:rPr>
          <w:rFonts w:ascii="Times" w:eastAsiaTheme="minorEastAsia" w:hAnsi="Times" w:cs="Times"/>
          <w:bCs/>
        </w:rPr>
      </w:pPr>
      <w:r w:rsidRPr="006B3866">
        <w:rPr>
          <w:rFonts w:ascii="Calibri" w:hAnsi="Calibri" w:cs="Calibri"/>
          <w:sz w:val="22"/>
          <w:szCs w:val="22"/>
        </w:rPr>
        <w:t xml:space="preserve">Conclusion. </w:t>
      </w:r>
      <w:r w:rsidR="002C7FB9" w:rsidRPr="00577240">
        <w:rPr>
          <w:rFonts w:ascii="Times" w:eastAsiaTheme="minorEastAsia" w:hAnsi="Times" w:cs="Times"/>
          <w:bCs/>
        </w:rPr>
        <w:t>In conclusion, we demonstrate that the NIRB</w:t>
      </w:r>
      <w:r w:rsidR="00797013" w:rsidRPr="00797013">
        <w:rPr>
          <w:rFonts w:ascii="Times" w:eastAsiaTheme="minorEastAsia" w:hAnsi="Times" w:cs="Times"/>
          <w:bCs/>
          <w:vertAlign w:val="superscript"/>
        </w:rPr>
        <w:t>1</w:t>
      </w:r>
      <w:r w:rsidR="002C7FB9" w:rsidRPr="00577240">
        <w:rPr>
          <w:rFonts w:ascii="Times" w:eastAsiaTheme="minorEastAsia" w:hAnsi="Times" w:cs="Times"/>
          <w:bCs/>
        </w:rPr>
        <w:t xml:space="preserve"> can be used in 3D multicellular spheroid imaging.</w:t>
      </w:r>
      <w:r w:rsidR="002C7FB9" w:rsidRPr="002C7FB9">
        <w:rPr>
          <w:rFonts w:ascii="Times" w:eastAsiaTheme="minorEastAsia" w:hAnsi="Times" w:cs="Times"/>
          <w:bCs/>
        </w:rPr>
        <w:t xml:space="preserve"> </w:t>
      </w:r>
      <w:r w:rsidR="002C7FB9" w:rsidRPr="00577240">
        <w:rPr>
          <w:rFonts w:ascii="Times" w:eastAsiaTheme="minorEastAsia" w:hAnsi="Times" w:cs="Times"/>
          <w:bCs/>
        </w:rPr>
        <w:t>This method</w:t>
      </w:r>
      <w:r w:rsidR="002C7FB9">
        <w:rPr>
          <w:rFonts w:ascii="Times" w:eastAsiaTheme="minorEastAsia" w:hAnsi="Times" w:cs="Times"/>
          <w:bCs/>
        </w:rPr>
        <w:t xml:space="preserve"> </w:t>
      </w:r>
      <w:r w:rsidR="002C7FB9" w:rsidRPr="00577240">
        <w:rPr>
          <w:rFonts w:ascii="Times" w:eastAsiaTheme="minorEastAsia" w:hAnsi="Times" w:cs="Times"/>
          <w:bCs/>
        </w:rPr>
        <w:t xml:space="preserve">holds great potential to monitor the nanoscale cargo transportation in organoid. This technology holds great potential for the investigation of the behaviours such as the movement, inter-and intra-cellular trafficking and drug release of single nanoparticles in biological systems. It will provide new insight into nanomedicine product design and improve the efficacy of </w:t>
      </w:r>
      <w:r w:rsidR="002C7FB9" w:rsidRPr="00577240">
        <w:rPr>
          <w:rFonts w:ascii="Times" w:eastAsiaTheme="minorEastAsia" w:hAnsi="Times" w:cs="Times"/>
          <w:bCs/>
          <w:noProof/>
        </w:rPr>
        <w:t>nano devices</w:t>
      </w:r>
      <w:r w:rsidR="002C7FB9" w:rsidRPr="00577240">
        <w:rPr>
          <w:rFonts w:ascii="Times" w:eastAsiaTheme="minorEastAsia" w:hAnsi="Times" w:cs="Times"/>
          <w:bCs/>
        </w:rPr>
        <w:t>.</w:t>
      </w:r>
    </w:p>
    <w:p w14:paraId="181C748C" w14:textId="72E4A127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766DA9A5" w14:textId="7761A1BE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1F4C60EA" w:rsidR="00DC0ABB" w:rsidRPr="006B3866" w:rsidRDefault="00545AA0" w:rsidP="00545AA0">
      <w:pPr>
        <w:numPr>
          <w:ilvl w:val="0"/>
          <w:numId w:val="1"/>
        </w:num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545AA0">
        <w:rPr>
          <w:rFonts w:asciiTheme="minorHAnsi" w:hAnsiTheme="minorHAnsi" w:cstheme="minorHAnsi"/>
          <w:sz w:val="22"/>
          <w:szCs w:val="22"/>
        </w:rPr>
        <w:t xml:space="preserve">Chen, C., Wang, F., Wen, S., Su, Q. P., Wu, M. C., Liu, Y., ... &amp; Aharonovich, I. (2018). Multi-photon near-infrared emission saturation nanoscopy using upconversion nanoparticles. Nature communications, 9(1), 3290. </w:t>
      </w: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734C" w14:textId="77777777" w:rsidR="00E14785" w:rsidRDefault="00E14785" w:rsidP="009D17EC">
      <w:r>
        <w:separator/>
      </w:r>
    </w:p>
  </w:endnote>
  <w:endnote w:type="continuationSeparator" w:id="0">
    <w:p w14:paraId="5326922C" w14:textId="77777777" w:rsidR="00E14785" w:rsidRDefault="00E14785" w:rsidP="009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B3F5" w14:textId="77777777" w:rsidR="00E14785" w:rsidRDefault="00E14785" w:rsidP="009D17EC">
      <w:r>
        <w:separator/>
      </w:r>
    </w:p>
  </w:footnote>
  <w:footnote w:type="continuationSeparator" w:id="0">
    <w:p w14:paraId="0584DBC2" w14:textId="77777777" w:rsidR="00E14785" w:rsidRDefault="00E14785" w:rsidP="009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147E3"/>
    <w:rsid w:val="0004118E"/>
    <w:rsid w:val="00045573"/>
    <w:rsid w:val="001A21AD"/>
    <w:rsid w:val="001F3125"/>
    <w:rsid w:val="001F5406"/>
    <w:rsid w:val="002078AD"/>
    <w:rsid w:val="002226BB"/>
    <w:rsid w:val="00225236"/>
    <w:rsid w:val="002272B0"/>
    <w:rsid w:val="002C7FB9"/>
    <w:rsid w:val="00300B92"/>
    <w:rsid w:val="0030585E"/>
    <w:rsid w:val="00387491"/>
    <w:rsid w:val="00446B11"/>
    <w:rsid w:val="00483B05"/>
    <w:rsid w:val="004E28B9"/>
    <w:rsid w:val="004E5450"/>
    <w:rsid w:val="00545AA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797013"/>
    <w:rsid w:val="008909C9"/>
    <w:rsid w:val="00947B77"/>
    <w:rsid w:val="009B2641"/>
    <w:rsid w:val="009D17EC"/>
    <w:rsid w:val="009E2228"/>
    <w:rsid w:val="009F06D6"/>
    <w:rsid w:val="00A266B4"/>
    <w:rsid w:val="00B17ACD"/>
    <w:rsid w:val="00BC342E"/>
    <w:rsid w:val="00BC5FCC"/>
    <w:rsid w:val="00C303AE"/>
    <w:rsid w:val="00C60A71"/>
    <w:rsid w:val="00CC165A"/>
    <w:rsid w:val="00D55F3B"/>
    <w:rsid w:val="00DA2731"/>
    <w:rsid w:val="00DC0ABB"/>
    <w:rsid w:val="00DF1C8E"/>
    <w:rsid w:val="00E14785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7013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17EC"/>
    <w:rPr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7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17EC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59508758B1B49B5196F552282E476" ma:contentTypeVersion="11" ma:contentTypeDescription="Create a new document." ma:contentTypeScope="" ma:versionID="5b141d0a2fba81587b18dad9daa99160">
  <xsd:schema xmlns:xsd="http://www.w3.org/2001/XMLSchema" xmlns:xs="http://www.w3.org/2001/XMLSchema" xmlns:p="http://schemas.microsoft.com/office/2006/metadata/properties" xmlns:ns3="9ede3a19-07ce-4942-8b88-9e59a26d9a9a" xmlns:ns4="dfc2343b-e61e-4632-9f50-8d7520bec1f2" targetNamespace="http://schemas.microsoft.com/office/2006/metadata/properties" ma:root="true" ma:fieldsID="bde57b9f3158657099bc0aaf42b3404f" ns3:_="" ns4:_="">
    <xsd:import namespace="9ede3a19-07ce-4942-8b88-9e59a26d9a9a"/>
    <xsd:import namespace="dfc2343b-e61e-4632-9f50-8d7520bec1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e3a19-07ce-4942-8b88-9e59a26d9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343b-e61e-4632-9f50-8d7520bec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44BB9-6A01-499B-9029-9157B47B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e3a19-07ce-4942-8b88-9e59a26d9a9a"/>
    <ds:schemaRef ds:uri="dfc2343b-e61e-4632-9f50-8d7520bec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080C-3928-4DD6-847E-A0E38E4B1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FD15E-0B6E-419C-94CD-66EF8FAFEABE}">
  <ds:schemaRefs>
    <ds:schemaRef ds:uri="http://schemas.openxmlformats.org/package/2006/metadata/core-properties"/>
    <ds:schemaRef ds:uri="dfc2343b-e61e-4632-9f50-8d7520bec1f2"/>
    <ds:schemaRef ds:uri="http://purl.org/dc/terms/"/>
    <ds:schemaRef ds:uri="http://schemas.microsoft.com/office/infopath/2007/PartnerControls"/>
    <ds:schemaRef ds:uri="9ede3a19-07ce-4942-8b88-9e59a26d9a9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1885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Yongtao Liu</cp:lastModifiedBy>
  <cp:revision>2</cp:revision>
  <cp:lastPrinted>2013-06-13T05:15:00Z</cp:lastPrinted>
  <dcterms:created xsi:type="dcterms:W3CDTF">2019-08-15T08:08:00Z</dcterms:created>
  <dcterms:modified xsi:type="dcterms:W3CDTF">2019-08-15T08:08:00Z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0x01010086359508758B1B49B5196F552282E476</vt:lpwstr>
  </property>
</Properties>
</file>