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66A9" w14:textId="77777777" w:rsidR="00CB3888" w:rsidRDefault="00CB3888" w:rsidP="000D758D">
      <w:pPr>
        <w:spacing w:after="0" w:line="240" w:lineRule="auto"/>
        <w:jc w:val="both"/>
        <w:rPr>
          <w:rFonts w:ascii="Calibri" w:eastAsia="Times New Roman" w:hAnsi="Calibri" w:cs="Calibri"/>
          <w:b/>
          <w:bCs/>
          <w:color w:val="222222"/>
          <w:sz w:val="20"/>
          <w:szCs w:val="20"/>
          <w:lang w:eastAsia="en-AE"/>
        </w:rPr>
      </w:pPr>
      <w:r w:rsidRPr="00CB3888">
        <w:rPr>
          <w:rFonts w:ascii="Calibri" w:eastAsia="Times New Roman" w:hAnsi="Calibri" w:cs="Calibri"/>
          <w:b/>
          <w:bCs/>
          <w:color w:val="222222"/>
          <w:sz w:val="20"/>
          <w:szCs w:val="20"/>
          <w:lang w:eastAsia="en-AE"/>
        </w:rPr>
        <w:t>α-Bisabolol mitigates inflammasome and NF-</w:t>
      </w:r>
      <w:proofErr w:type="spellStart"/>
      <w:r w:rsidRPr="00CB3888">
        <w:rPr>
          <w:rFonts w:ascii="Calibri" w:eastAsia="Times New Roman" w:hAnsi="Calibri" w:cs="Calibri"/>
          <w:b/>
          <w:bCs/>
          <w:color w:val="222222"/>
          <w:sz w:val="20"/>
          <w:szCs w:val="20"/>
          <w:lang w:eastAsia="en-AE"/>
        </w:rPr>
        <w:t>κb</w:t>
      </w:r>
      <w:proofErr w:type="spellEnd"/>
      <w:r w:rsidRPr="00CB3888">
        <w:rPr>
          <w:rFonts w:ascii="Calibri" w:eastAsia="Times New Roman" w:hAnsi="Calibri" w:cs="Calibri"/>
          <w:b/>
          <w:bCs/>
          <w:color w:val="222222"/>
          <w:sz w:val="20"/>
          <w:szCs w:val="20"/>
          <w:lang w:eastAsia="en-AE"/>
        </w:rPr>
        <w:t>/MAPK signalling against doxorubicin-induced liver injury in rats</w:t>
      </w:r>
    </w:p>
    <w:p w14:paraId="2496597C" w14:textId="77777777" w:rsidR="00CB3888" w:rsidRDefault="00CB3888" w:rsidP="000D758D">
      <w:pPr>
        <w:spacing w:after="0" w:line="240" w:lineRule="auto"/>
        <w:jc w:val="both"/>
        <w:rPr>
          <w:rFonts w:ascii="Calibri" w:eastAsia="Times New Roman" w:hAnsi="Calibri" w:cs="Calibri"/>
          <w:b/>
          <w:bCs/>
          <w:color w:val="222222"/>
          <w:sz w:val="20"/>
          <w:szCs w:val="20"/>
          <w:lang w:eastAsia="en-AE"/>
        </w:rPr>
      </w:pPr>
    </w:p>
    <w:p w14:paraId="18CBD185" w14:textId="560F50A9" w:rsidR="000D758D" w:rsidRPr="00CB3888" w:rsidRDefault="000D758D" w:rsidP="000D758D">
      <w:pPr>
        <w:spacing w:after="0" w:line="240" w:lineRule="auto"/>
        <w:jc w:val="both"/>
        <w:rPr>
          <w:rFonts w:ascii="Calibri" w:eastAsia="Times New Roman" w:hAnsi="Calibri" w:cs="Calibri"/>
          <w:color w:val="242424"/>
          <w:sz w:val="20"/>
          <w:szCs w:val="20"/>
          <w:shd w:val="clear" w:color="auto" w:fill="FFFFFF"/>
          <w:lang w:eastAsia="en-AE"/>
        </w:rPr>
      </w:pPr>
      <w:r w:rsidRPr="000D758D">
        <w:rPr>
          <w:rFonts w:ascii="Calibri" w:eastAsia="Times New Roman" w:hAnsi="Calibri" w:cs="Calibri"/>
          <w:b/>
          <w:bCs/>
          <w:color w:val="242424"/>
          <w:sz w:val="20"/>
          <w:szCs w:val="20"/>
          <w:u w:val="single"/>
          <w:shd w:val="clear" w:color="auto" w:fill="FFFFFF"/>
          <w:lang w:eastAsia="en-AE"/>
        </w:rPr>
        <w:t>S</w:t>
      </w:r>
      <w:r w:rsidRPr="00CB3888">
        <w:rPr>
          <w:rFonts w:ascii="Calibri" w:eastAsia="Times New Roman" w:hAnsi="Calibri" w:cs="Calibri"/>
          <w:b/>
          <w:bCs/>
          <w:color w:val="242424"/>
          <w:sz w:val="20"/>
          <w:szCs w:val="20"/>
          <w:u w:val="single"/>
          <w:shd w:val="clear" w:color="auto" w:fill="FFFFFF"/>
          <w:lang w:eastAsia="en-AE"/>
        </w:rPr>
        <w:t>hreesh Ojha</w:t>
      </w:r>
      <w:r w:rsidR="00CB3888">
        <w:rPr>
          <w:rFonts w:ascii="Calibri" w:eastAsia="Times New Roman" w:hAnsi="Calibri" w:cs="Calibri"/>
          <w:b/>
          <w:bCs/>
          <w:color w:val="242424"/>
          <w:sz w:val="20"/>
          <w:szCs w:val="20"/>
          <w:u w:val="single"/>
          <w:shd w:val="clear" w:color="auto" w:fill="FFFFFF"/>
          <w:lang w:eastAsia="en-AE"/>
        </w:rPr>
        <w:t xml:space="preserve">, </w:t>
      </w:r>
      <w:r w:rsidR="00CB3888" w:rsidRPr="00CB3888">
        <w:rPr>
          <w:rFonts w:ascii="Calibri" w:eastAsia="Times New Roman" w:hAnsi="Calibri" w:cs="Calibri"/>
          <w:color w:val="242424"/>
          <w:sz w:val="20"/>
          <w:szCs w:val="20"/>
          <w:shd w:val="clear" w:color="auto" w:fill="FFFFFF"/>
          <w:lang w:eastAsia="en-AE"/>
        </w:rPr>
        <w:t xml:space="preserve">M Fizur Nagoor Meeran, </w:t>
      </w:r>
      <w:r w:rsidR="00CB3888">
        <w:rPr>
          <w:rFonts w:ascii="Calibri" w:eastAsia="Times New Roman" w:hAnsi="Calibri" w:cs="Calibri"/>
          <w:color w:val="242424"/>
          <w:sz w:val="20"/>
          <w:szCs w:val="20"/>
          <w:shd w:val="clear" w:color="auto" w:fill="FFFFFF"/>
          <w:lang w:eastAsia="en-AE"/>
        </w:rPr>
        <w:t xml:space="preserve">S. Arunachalam, S. Ross, B. Zia, </w:t>
      </w:r>
      <w:r w:rsidR="00CB3888" w:rsidRPr="00CB3888">
        <w:rPr>
          <w:rFonts w:ascii="Calibri" w:eastAsia="Times New Roman" w:hAnsi="Calibri" w:cs="Calibri"/>
          <w:color w:val="242424"/>
          <w:sz w:val="20"/>
          <w:szCs w:val="20"/>
          <w:shd w:val="clear" w:color="auto" w:fill="FFFFFF"/>
          <w:lang w:eastAsia="en-AE"/>
        </w:rPr>
        <w:t>A. Sheikh</w:t>
      </w:r>
      <w:r w:rsidR="00CB3888">
        <w:rPr>
          <w:rFonts w:ascii="Calibri" w:eastAsia="Times New Roman" w:hAnsi="Calibri" w:cs="Calibri"/>
          <w:b/>
          <w:bCs/>
          <w:color w:val="242424"/>
          <w:sz w:val="20"/>
          <w:szCs w:val="20"/>
          <w:u w:val="single"/>
          <w:shd w:val="clear" w:color="auto" w:fill="FFFFFF"/>
          <w:lang w:eastAsia="en-AE"/>
        </w:rPr>
        <w:t xml:space="preserve"> </w:t>
      </w:r>
    </w:p>
    <w:p w14:paraId="5492E3CC" w14:textId="77777777" w:rsidR="000D758D" w:rsidRPr="00CB3888" w:rsidRDefault="000D758D" w:rsidP="000D758D">
      <w:pPr>
        <w:spacing w:after="0" w:line="240" w:lineRule="auto"/>
        <w:jc w:val="both"/>
        <w:rPr>
          <w:rFonts w:ascii="Calibri" w:eastAsia="Times New Roman" w:hAnsi="Calibri" w:cs="Calibri"/>
          <w:i/>
          <w:iCs/>
          <w:color w:val="242424"/>
          <w:sz w:val="20"/>
          <w:szCs w:val="20"/>
          <w:shd w:val="clear" w:color="auto" w:fill="FFFFFF"/>
          <w:vertAlign w:val="superscript"/>
          <w:lang w:eastAsia="en-AE"/>
        </w:rPr>
      </w:pPr>
    </w:p>
    <w:p w14:paraId="612BC157" w14:textId="6721E735" w:rsidR="000D758D" w:rsidRPr="000D758D" w:rsidRDefault="00CB3888" w:rsidP="000D758D">
      <w:pPr>
        <w:spacing w:after="0" w:line="240" w:lineRule="auto"/>
        <w:jc w:val="both"/>
        <w:rPr>
          <w:rFonts w:ascii="Calibri" w:eastAsia="Times New Roman" w:hAnsi="Calibri" w:cs="Calibri"/>
          <w:sz w:val="20"/>
          <w:szCs w:val="20"/>
          <w:lang w:eastAsia="en-AE"/>
        </w:rPr>
      </w:pPr>
      <w:r w:rsidRPr="00CB3888">
        <w:rPr>
          <w:rFonts w:ascii="Calibri" w:eastAsia="Times New Roman" w:hAnsi="Calibri" w:cs="Calibri"/>
          <w:color w:val="242424"/>
          <w:sz w:val="20"/>
          <w:szCs w:val="20"/>
          <w:shd w:val="clear" w:color="auto" w:fill="FFFFFF"/>
          <w:lang w:eastAsia="en-AE"/>
        </w:rPr>
        <w:t xml:space="preserve">Department of </w:t>
      </w:r>
      <w:r w:rsidR="000D758D" w:rsidRPr="000D758D">
        <w:rPr>
          <w:rFonts w:ascii="Calibri" w:eastAsia="Times New Roman" w:hAnsi="Calibri" w:cs="Calibri"/>
          <w:color w:val="242424"/>
          <w:sz w:val="20"/>
          <w:szCs w:val="20"/>
          <w:shd w:val="clear" w:color="auto" w:fill="FFFFFF"/>
          <w:lang w:eastAsia="en-AE"/>
        </w:rPr>
        <w:t xml:space="preserve">Pharmacology and Therapeutics, </w:t>
      </w:r>
      <w:r w:rsidR="000D758D" w:rsidRPr="00CB3888">
        <w:rPr>
          <w:rFonts w:ascii="Calibri" w:eastAsia="Times New Roman" w:hAnsi="Calibri" w:cs="Calibri"/>
          <w:color w:val="242424"/>
          <w:sz w:val="20"/>
          <w:szCs w:val="20"/>
          <w:shd w:val="clear" w:color="auto" w:fill="FFFFFF"/>
          <w:lang w:eastAsia="en-AE"/>
        </w:rPr>
        <w:t xml:space="preserve">PO Box: 15551, </w:t>
      </w:r>
      <w:r w:rsidRPr="000D758D">
        <w:rPr>
          <w:rFonts w:ascii="Calibri" w:eastAsia="Times New Roman" w:hAnsi="Calibri" w:cs="Calibri"/>
          <w:color w:val="242424"/>
          <w:sz w:val="20"/>
          <w:szCs w:val="20"/>
          <w:shd w:val="clear" w:color="auto" w:fill="FFFFFF"/>
          <w:lang w:eastAsia="en-AE"/>
        </w:rPr>
        <w:t>U</w:t>
      </w:r>
      <w:r>
        <w:rPr>
          <w:rFonts w:ascii="Calibri" w:eastAsia="Times New Roman" w:hAnsi="Calibri" w:cs="Calibri"/>
          <w:color w:val="242424"/>
          <w:sz w:val="20"/>
          <w:szCs w:val="20"/>
          <w:shd w:val="clear" w:color="auto" w:fill="FFFFFF"/>
          <w:lang w:eastAsia="en-AE"/>
        </w:rPr>
        <w:t xml:space="preserve">nited </w:t>
      </w:r>
      <w:r w:rsidRPr="000D758D">
        <w:rPr>
          <w:rFonts w:ascii="Calibri" w:eastAsia="Times New Roman" w:hAnsi="Calibri" w:cs="Calibri"/>
          <w:color w:val="242424"/>
          <w:sz w:val="20"/>
          <w:szCs w:val="20"/>
          <w:shd w:val="clear" w:color="auto" w:fill="FFFFFF"/>
          <w:lang w:eastAsia="en-AE"/>
        </w:rPr>
        <w:t>A</w:t>
      </w:r>
      <w:r>
        <w:rPr>
          <w:rFonts w:ascii="Calibri" w:eastAsia="Times New Roman" w:hAnsi="Calibri" w:cs="Calibri"/>
          <w:color w:val="242424"/>
          <w:sz w:val="20"/>
          <w:szCs w:val="20"/>
          <w:shd w:val="clear" w:color="auto" w:fill="FFFFFF"/>
          <w:lang w:eastAsia="en-AE"/>
        </w:rPr>
        <w:t xml:space="preserve">rab </w:t>
      </w:r>
      <w:r w:rsidRPr="000D758D">
        <w:rPr>
          <w:rFonts w:ascii="Calibri" w:eastAsia="Times New Roman" w:hAnsi="Calibri" w:cs="Calibri"/>
          <w:color w:val="242424"/>
          <w:sz w:val="20"/>
          <w:szCs w:val="20"/>
          <w:shd w:val="clear" w:color="auto" w:fill="FFFFFF"/>
          <w:lang w:eastAsia="en-AE"/>
        </w:rPr>
        <w:t>E</w:t>
      </w:r>
      <w:r>
        <w:rPr>
          <w:rFonts w:ascii="Calibri" w:eastAsia="Times New Roman" w:hAnsi="Calibri" w:cs="Calibri"/>
          <w:color w:val="242424"/>
          <w:sz w:val="20"/>
          <w:szCs w:val="20"/>
          <w:shd w:val="clear" w:color="auto" w:fill="FFFFFF"/>
          <w:lang w:eastAsia="en-AE"/>
        </w:rPr>
        <w:t xml:space="preserve">mirates </w:t>
      </w:r>
      <w:r w:rsidRPr="000D758D">
        <w:rPr>
          <w:rFonts w:ascii="Calibri" w:eastAsia="Times New Roman" w:hAnsi="Calibri" w:cs="Calibri"/>
          <w:color w:val="242424"/>
          <w:sz w:val="20"/>
          <w:szCs w:val="20"/>
          <w:shd w:val="clear" w:color="auto" w:fill="FFFFFF"/>
          <w:lang w:eastAsia="en-AE"/>
        </w:rPr>
        <w:t>University</w:t>
      </w:r>
      <w:r w:rsidR="000D758D" w:rsidRPr="00CB3888">
        <w:rPr>
          <w:rFonts w:ascii="Calibri" w:eastAsia="Times New Roman" w:hAnsi="Calibri" w:cs="Calibri"/>
          <w:color w:val="242424"/>
          <w:sz w:val="20"/>
          <w:szCs w:val="20"/>
          <w:shd w:val="clear" w:color="auto" w:fill="FFFFFF"/>
          <w:lang w:eastAsia="en-AE"/>
        </w:rPr>
        <w:t>, UAE</w:t>
      </w:r>
      <w:r w:rsidR="000D758D" w:rsidRPr="000D758D">
        <w:rPr>
          <w:rFonts w:ascii="Calibri" w:eastAsia="Times New Roman" w:hAnsi="Calibri" w:cs="Calibri"/>
          <w:color w:val="242424"/>
          <w:sz w:val="20"/>
          <w:szCs w:val="20"/>
          <w:shd w:val="clear" w:color="auto" w:fill="FFFFFF"/>
          <w:lang w:eastAsia="en-AE"/>
        </w:rPr>
        <w:br/>
      </w:r>
    </w:p>
    <w:p w14:paraId="234AD12C" w14:textId="77777777" w:rsidR="00CB3888" w:rsidRDefault="00CB3888" w:rsidP="000D758D">
      <w:pPr>
        <w:shd w:val="clear" w:color="auto" w:fill="FFFFFF"/>
        <w:spacing w:after="150" w:line="281" w:lineRule="atLeast"/>
        <w:jc w:val="both"/>
        <w:rPr>
          <w:rFonts w:ascii="Calibri" w:eastAsia="Times New Roman" w:hAnsi="Calibri" w:cs="Calibri"/>
          <w:color w:val="242424"/>
          <w:sz w:val="20"/>
          <w:szCs w:val="20"/>
          <w:lang w:eastAsia="en-AE"/>
        </w:rPr>
      </w:pPr>
      <w:r w:rsidRPr="00CB3888">
        <w:rPr>
          <w:rFonts w:ascii="Calibri" w:eastAsia="Times New Roman" w:hAnsi="Calibri" w:cs="Calibri"/>
          <w:b/>
          <w:bCs/>
          <w:color w:val="242424"/>
          <w:sz w:val="20"/>
          <w:szCs w:val="20"/>
          <w:lang w:eastAsia="en-AE"/>
        </w:rPr>
        <w:t>Introduction.</w:t>
      </w:r>
      <w:r>
        <w:rPr>
          <w:rFonts w:ascii="Calibri" w:eastAsia="Times New Roman" w:hAnsi="Calibri" w:cs="Calibri"/>
          <w:color w:val="242424"/>
          <w:sz w:val="20"/>
          <w:szCs w:val="20"/>
          <w:lang w:eastAsia="en-AE"/>
        </w:rPr>
        <w:t xml:space="preserve"> </w:t>
      </w:r>
      <w:r w:rsidR="000D758D" w:rsidRPr="000D758D">
        <w:rPr>
          <w:rFonts w:ascii="Calibri" w:eastAsia="Times New Roman" w:hAnsi="Calibri" w:cs="Calibri"/>
          <w:color w:val="242424"/>
          <w:sz w:val="20"/>
          <w:szCs w:val="20"/>
          <w:lang w:eastAsia="en-AE"/>
        </w:rPr>
        <w:t xml:space="preserve">Doxorubicin (DOX) is a potent anthracycline cytotoxic antineoplastic agent widely used in the treatment of various cancers, including </w:t>
      </w:r>
      <w:proofErr w:type="spellStart"/>
      <w:r w:rsidR="000D758D" w:rsidRPr="000D758D">
        <w:rPr>
          <w:rFonts w:ascii="Calibri" w:eastAsia="Times New Roman" w:hAnsi="Calibri" w:cs="Calibri"/>
          <w:color w:val="242424"/>
          <w:sz w:val="20"/>
          <w:szCs w:val="20"/>
          <w:lang w:eastAsia="en-AE"/>
        </w:rPr>
        <w:t>pediatric</w:t>
      </w:r>
      <w:proofErr w:type="spellEnd"/>
      <w:r w:rsidR="000D758D" w:rsidRPr="000D758D">
        <w:rPr>
          <w:rFonts w:ascii="Calibri" w:eastAsia="Times New Roman" w:hAnsi="Calibri" w:cs="Calibri"/>
          <w:color w:val="242424"/>
          <w:sz w:val="20"/>
          <w:szCs w:val="20"/>
          <w:lang w:eastAsia="en-AE"/>
        </w:rPr>
        <w:t xml:space="preserve"> malignancies, </w:t>
      </w:r>
      <w:proofErr w:type="spellStart"/>
      <w:r w:rsidR="000D758D" w:rsidRPr="000D758D">
        <w:rPr>
          <w:rFonts w:ascii="Calibri" w:eastAsia="Times New Roman" w:hAnsi="Calibri" w:cs="Calibri"/>
          <w:color w:val="242424"/>
          <w:sz w:val="20"/>
          <w:szCs w:val="20"/>
          <w:lang w:eastAsia="en-AE"/>
        </w:rPr>
        <w:t>leukemia</w:t>
      </w:r>
      <w:proofErr w:type="spellEnd"/>
      <w:r w:rsidR="000D758D" w:rsidRPr="000D758D">
        <w:rPr>
          <w:rFonts w:ascii="Calibri" w:eastAsia="Times New Roman" w:hAnsi="Calibri" w:cs="Calibri"/>
          <w:color w:val="242424"/>
          <w:sz w:val="20"/>
          <w:szCs w:val="20"/>
          <w:lang w:eastAsia="en-AE"/>
        </w:rPr>
        <w:t xml:space="preserve">, lymphoma, sarcoma, and carcinoma. Despite its broad application in oncology, its clinical utility is limited by several systemic side effects, including a prominent one is liver toxicity. There is enormous interest in combining DOX with natural compounds with antioxidant properties to reduce toxicity and increase drug efficacy. Antioxidants of natural origin, dietary in nature, have been suggested as a potential intervention to minimize DOX-induced side effects. In this context, the role of α-Bisabolol (BSB), a monocyclic sesquiterpene abundantly found in German Chamomile tea and other beverages, has not yet been explored for its potential in alleviating DOX-induced hepatotoxicity. BSB is reported to exhibit a wide range of pharmacological properties, such as antioxidant, anti-inflammatory, analgesic, cardioprotective, antibiotic, anti-irritant, and anticancer activities. In addition to anticancer activity, BSB has been reported to attenuate DOX-induced renal and cardiotoxicity, but no report is available on hepatoprotective properties. </w:t>
      </w:r>
    </w:p>
    <w:p w14:paraId="000EA8BE" w14:textId="77777777" w:rsidR="00CB3888" w:rsidRDefault="00CB3888" w:rsidP="000D758D">
      <w:pPr>
        <w:shd w:val="clear" w:color="auto" w:fill="FFFFFF"/>
        <w:spacing w:after="150" w:line="281" w:lineRule="atLeast"/>
        <w:jc w:val="both"/>
        <w:rPr>
          <w:rFonts w:ascii="Calibri" w:eastAsia="Times New Roman" w:hAnsi="Calibri" w:cs="Calibri"/>
          <w:color w:val="242424"/>
          <w:sz w:val="20"/>
          <w:szCs w:val="20"/>
          <w:lang w:eastAsia="en-AE"/>
        </w:rPr>
      </w:pPr>
      <w:r w:rsidRPr="00CB3888">
        <w:rPr>
          <w:rFonts w:ascii="Calibri" w:eastAsia="Times New Roman" w:hAnsi="Calibri" w:cs="Calibri"/>
          <w:b/>
          <w:bCs/>
          <w:color w:val="242424"/>
          <w:sz w:val="20"/>
          <w:szCs w:val="20"/>
          <w:lang w:eastAsia="en-AE"/>
        </w:rPr>
        <w:t>Aims.</w:t>
      </w:r>
      <w:r>
        <w:rPr>
          <w:rFonts w:ascii="Calibri" w:eastAsia="Times New Roman" w:hAnsi="Calibri" w:cs="Calibri"/>
          <w:color w:val="242424"/>
          <w:sz w:val="20"/>
          <w:szCs w:val="20"/>
          <w:lang w:eastAsia="en-AE"/>
        </w:rPr>
        <w:t xml:space="preserve"> </w:t>
      </w:r>
      <w:r w:rsidR="000D758D" w:rsidRPr="000D758D">
        <w:rPr>
          <w:rFonts w:ascii="Calibri" w:eastAsia="Times New Roman" w:hAnsi="Calibri" w:cs="Calibri"/>
          <w:color w:val="242424"/>
          <w:sz w:val="20"/>
          <w:szCs w:val="20"/>
          <w:lang w:eastAsia="en-AE"/>
        </w:rPr>
        <w:t xml:space="preserve">The current study evaluated the effect of BSB against DOX-induced liver injury. </w:t>
      </w:r>
    </w:p>
    <w:p w14:paraId="36911F27" w14:textId="77777777" w:rsidR="00CB3888" w:rsidRDefault="00CB3888" w:rsidP="000D758D">
      <w:pPr>
        <w:shd w:val="clear" w:color="auto" w:fill="FFFFFF"/>
        <w:spacing w:after="150" w:line="281" w:lineRule="atLeast"/>
        <w:jc w:val="both"/>
        <w:rPr>
          <w:rFonts w:ascii="Calibri" w:eastAsia="Times New Roman" w:hAnsi="Calibri" w:cs="Calibri"/>
          <w:color w:val="242424"/>
          <w:sz w:val="20"/>
          <w:szCs w:val="20"/>
          <w:lang w:eastAsia="en-AE"/>
        </w:rPr>
      </w:pPr>
      <w:r w:rsidRPr="00CB3888">
        <w:rPr>
          <w:rFonts w:ascii="Calibri" w:eastAsia="Times New Roman" w:hAnsi="Calibri" w:cs="Calibri"/>
          <w:b/>
          <w:bCs/>
          <w:color w:val="242424"/>
          <w:sz w:val="20"/>
          <w:szCs w:val="20"/>
          <w:lang w:eastAsia="en-AE"/>
        </w:rPr>
        <w:t>Methods.</w:t>
      </w:r>
      <w:r>
        <w:rPr>
          <w:rFonts w:ascii="Calibri" w:eastAsia="Times New Roman" w:hAnsi="Calibri" w:cs="Calibri"/>
          <w:color w:val="242424"/>
          <w:sz w:val="20"/>
          <w:szCs w:val="20"/>
          <w:lang w:eastAsia="en-AE"/>
        </w:rPr>
        <w:t xml:space="preserve"> </w:t>
      </w:r>
      <w:r w:rsidR="000D758D" w:rsidRPr="000D758D">
        <w:rPr>
          <w:rFonts w:ascii="Calibri" w:eastAsia="Times New Roman" w:hAnsi="Calibri" w:cs="Calibri"/>
          <w:color w:val="242424"/>
          <w:sz w:val="20"/>
          <w:szCs w:val="20"/>
          <w:lang w:eastAsia="en-AE"/>
        </w:rPr>
        <w:t xml:space="preserve">A single intraperitoneal administration of DOX (12.5 mg/kg) was conducted, followed by a 5-day intraperitoneal administration of BSB (25 mg/kg). DOX triggers escalation in oxidative stress accompanied by the initiation of inflammation, elevation in inflammatory mediators, and proinflammatory cytokines. </w:t>
      </w:r>
    </w:p>
    <w:p w14:paraId="1E37C11E" w14:textId="77777777" w:rsidR="00CB3888" w:rsidRDefault="00CB3888" w:rsidP="000D758D">
      <w:pPr>
        <w:shd w:val="clear" w:color="auto" w:fill="FFFFFF"/>
        <w:spacing w:after="150" w:line="281" w:lineRule="atLeast"/>
        <w:jc w:val="both"/>
        <w:rPr>
          <w:rFonts w:ascii="Calibri" w:eastAsia="Times New Roman" w:hAnsi="Calibri" w:cs="Calibri"/>
          <w:color w:val="242424"/>
          <w:sz w:val="20"/>
          <w:szCs w:val="20"/>
          <w:lang w:eastAsia="en-AE"/>
        </w:rPr>
      </w:pPr>
      <w:r w:rsidRPr="00CB3888">
        <w:rPr>
          <w:rFonts w:ascii="Calibri" w:eastAsia="Times New Roman" w:hAnsi="Calibri" w:cs="Calibri"/>
          <w:b/>
          <w:bCs/>
          <w:color w:val="242424"/>
          <w:sz w:val="20"/>
          <w:szCs w:val="20"/>
          <w:lang w:eastAsia="en-AE"/>
        </w:rPr>
        <w:t>Results</w:t>
      </w:r>
      <w:r>
        <w:rPr>
          <w:rFonts w:ascii="Calibri" w:eastAsia="Times New Roman" w:hAnsi="Calibri" w:cs="Calibri"/>
          <w:b/>
          <w:bCs/>
          <w:color w:val="242424"/>
          <w:sz w:val="20"/>
          <w:szCs w:val="20"/>
          <w:lang w:eastAsia="en-AE"/>
        </w:rPr>
        <w:t xml:space="preserve">. </w:t>
      </w:r>
      <w:r w:rsidR="000D758D" w:rsidRPr="000D758D">
        <w:rPr>
          <w:rFonts w:ascii="Calibri" w:eastAsia="Times New Roman" w:hAnsi="Calibri" w:cs="Calibri"/>
          <w:color w:val="242424"/>
          <w:sz w:val="20"/>
          <w:szCs w:val="20"/>
          <w:lang w:eastAsia="en-AE"/>
        </w:rPr>
        <w:t xml:space="preserve">DOX injection also augmented apoptosis and influenced various cellular </w:t>
      </w:r>
      <w:proofErr w:type="spellStart"/>
      <w:r w:rsidR="000D758D" w:rsidRPr="000D758D">
        <w:rPr>
          <w:rFonts w:ascii="Calibri" w:eastAsia="Times New Roman" w:hAnsi="Calibri" w:cs="Calibri"/>
          <w:color w:val="242424"/>
          <w:sz w:val="20"/>
          <w:szCs w:val="20"/>
          <w:lang w:eastAsia="en-AE"/>
        </w:rPr>
        <w:t>signaling</w:t>
      </w:r>
      <w:proofErr w:type="spellEnd"/>
      <w:r w:rsidR="000D758D" w:rsidRPr="000D758D">
        <w:rPr>
          <w:rFonts w:ascii="Calibri" w:eastAsia="Times New Roman" w:hAnsi="Calibri" w:cs="Calibri"/>
          <w:color w:val="242424"/>
          <w:sz w:val="20"/>
          <w:szCs w:val="20"/>
          <w:lang w:eastAsia="en-AE"/>
        </w:rPr>
        <w:t xml:space="preserve"> pathways, including oxidative stress (Nrf2/HO-1) and inflammatory </w:t>
      </w:r>
      <w:proofErr w:type="spellStart"/>
      <w:r w:rsidR="000D758D" w:rsidRPr="000D758D">
        <w:rPr>
          <w:rFonts w:ascii="Calibri" w:eastAsia="Times New Roman" w:hAnsi="Calibri" w:cs="Calibri"/>
          <w:color w:val="242424"/>
          <w:sz w:val="20"/>
          <w:szCs w:val="20"/>
          <w:lang w:eastAsia="en-AE"/>
        </w:rPr>
        <w:t>signaling</w:t>
      </w:r>
      <w:proofErr w:type="spellEnd"/>
      <w:r w:rsidR="000D758D" w:rsidRPr="000D758D">
        <w:rPr>
          <w:rFonts w:ascii="Calibri" w:eastAsia="Times New Roman" w:hAnsi="Calibri" w:cs="Calibri"/>
          <w:color w:val="242424"/>
          <w:sz w:val="20"/>
          <w:szCs w:val="20"/>
          <w:lang w:eastAsia="en-AE"/>
        </w:rPr>
        <w:t xml:space="preserve"> (NF-</w:t>
      </w:r>
      <w:proofErr w:type="spellStart"/>
      <w:r w:rsidR="000D758D" w:rsidRPr="000D758D">
        <w:rPr>
          <w:rFonts w:ascii="Calibri" w:eastAsia="Times New Roman" w:hAnsi="Calibri" w:cs="Calibri"/>
          <w:color w:val="242424"/>
          <w:sz w:val="20"/>
          <w:szCs w:val="20"/>
          <w:lang w:eastAsia="en-AE"/>
        </w:rPr>
        <w:t>κB</w:t>
      </w:r>
      <w:proofErr w:type="spellEnd"/>
      <w:r w:rsidR="000D758D" w:rsidRPr="000D758D">
        <w:rPr>
          <w:rFonts w:ascii="Calibri" w:eastAsia="Times New Roman" w:hAnsi="Calibri" w:cs="Calibri"/>
          <w:color w:val="242424"/>
          <w:sz w:val="20"/>
          <w:szCs w:val="20"/>
          <w:lang w:eastAsia="en-AE"/>
        </w:rPr>
        <w:t xml:space="preserve">/p38 and NLRP3 inflammasome) pathways. BSB treatment efficiently attenuated lipid peroxidation, prevented the depletion of endogenous antioxidants, and restored antioxidant enzyme activities. It also showed inhibitory effects on the release and production of inflammatory cytokines and other mediators. Additionally, BSB treatment was observed to inhibit apoptosis and have a positive impact on cellular </w:t>
      </w:r>
      <w:proofErr w:type="spellStart"/>
      <w:r w:rsidR="000D758D" w:rsidRPr="000D758D">
        <w:rPr>
          <w:rFonts w:ascii="Calibri" w:eastAsia="Times New Roman" w:hAnsi="Calibri" w:cs="Calibri"/>
          <w:color w:val="242424"/>
          <w:sz w:val="20"/>
          <w:szCs w:val="20"/>
          <w:lang w:eastAsia="en-AE"/>
        </w:rPr>
        <w:t>signaling</w:t>
      </w:r>
      <w:proofErr w:type="spellEnd"/>
      <w:r w:rsidR="000D758D" w:rsidRPr="000D758D">
        <w:rPr>
          <w:rFonts w:ascii="Calibri" w:eastAsia="Times New Roman" w:hAnsi="Calibri" w:cs="Calibri"/>
          <w:color w:val="242424"/>
          <w:sz w:val="20"/>
          <w:szCs w:val="20"/>
          <w:lang w:eastAsia="en-AE"/>
        </w:rPr>
        <w:t xml:space="preserve"> pathways, regulating inflammation and preserving histological integrity. </w:t>
      </w:r>
    </w:p>
    <w:p w14:paraId="66A51460" w14:textId="6E6BF160" w:rsidR="000D758D" w:rsidRPr="000D758D" w:rsidRDefault="00CB3888" w:rsidP="000D758D">
      <w:pPr>
        <w:shd w:val="clear" w:color="auto" w:fill="FFFFFF"/>
        <w:spacing w:after="150" w:line="281" w:lineRule="atLeast"/>
        <w:jc w:val="both"/>
        <w:rPr>
          <w:rFonts w:ascii="Calibri" w:eastAsia="Times New Roman" w:hAnsi="Calibri" w:cs="Calibri"/>
          <w:color w:val="242424"/>
          <w:sz w:val="20"/>
          <w:szCs w:val="20"/>
          <w:lang w:eastAsia="en-AE"/>
        </w:rPr>
      </w:pPr>
      <w:r w:rsidRPr="00CB3888">
        <w:rPr>
          <w:rFonts w:ascii="Calibri" w:eastAsia="Times New Roman" w:hAnsi="Calibri" w:cs="Calibri"/>
          <w:b/>
          <w:bCs/>
          <w:color w:val="242424"/>
          <w:sz w:val="20"/>
          <w:szCs w:val="20"/>
          <w:lang w:eastAsia="en-AE"/>
        </w:rPr>
        <w:t>Discussion.</w:t>
      </w:r>
      <w:r>
        <w:rPr>
          <w:rFonts w:ascii="Calibri" w:eastAsia="Times New Roman" w:hAnsi="Calibri" w:cs="Calibri"/>
          <w:color w:val="242424"/>
          <w:sz w:val="20"/>
          <w:szCs w:val="20"/>
          <w:lang w:eastAsia="en-AE"/>
        </w:rPr>
        <w:t xml:space="preserve"> </w:t>
      </w:r>
      <w:r w:rsidR="000D758D" w:rsidRPr="000D758D">
        <w:rPr>
          <w:rFonts w:ascii="Calibri" w:eastAsia="Times New Roman" w:hAnsi="Calibri" w:cs="Calibri"/>
          <w:color w:val="242424"/>
          <w:sz w:val="20"/>
          <w:szCs w:val="20"/>
          <w:lang w:eastAsia="en-AE"/>
        </w:rPr>
        <w:t>The findings observed herein this study demonstrated hepatoprotective effects of BSB on DOX-induced liver injury, and the protective actions were ascribed to the antioxidative, anti-inflammatory, and anti-apoptotic properties of BSB. The study suggests beneficial effects of BSB similar to other antioxidants. BSB could be one of the other beverages ingredients that may gain attention for further studies, similar to epigallocatechin in green tea. However, further regulatory toxicology and pharmacokinetic studies are needed to confirm the hepatoprotective properties of BSB and to precisely elucidate its molecular and pharmacological mechanisms of action.</w:t>
      </w:r>
    </w:p>
    <w:p w14:paraId="4239A825" w14:textId="660B84AF" w:rsidR="00C368A4" w:rsidRPr="00CB3888" w:rsidRDefault="000D758D" w:rsidP="000D758D">
      <w:pPr>
        <w:jc w:val="both"/>
        <w:rPr>
          <w:rFonts w:ascii="Calibri" w:hAnsi="Calibri" w:cs="Calibri"/>
          <w:sz w:val="20"/>
          <w:szCs w:val="20"/>
        </w:rPr>
      </w:pPr>
      <w:r w:rsidRPr="00CB3888">
        <w:rPr>
          <w:rFonts w:ascii="Calibri" w:eastAsia="Times New Roman" w:hAnsi="Calibri" w:cs="Calibri"/>
          <w:color w:val="242424"/>
          <w:sz w:val="20"/>
          <w:szCs w:val="20"/>
          <w:lang w:eastAsia="en-AE"/>
        </w:rPr>
        <w:br/>
      </w:r>
      <w:r w:rsidRPr="00CB3888">
        <w:rPr>
          <w:rFonts w:ascii="Calibri" w:eastAsia="Times New Roman" w:hAnsi="Calibri" w:cs="Calibri"/>
          <w:i/>
          <w:iCs/>
          <w:color w:val="242424"/>
          <w:sz w:val="20"/>
          <w:szCs w:val="20"/>
          <w:shd w:val="clear" w:color="auto" w:fill="FFFFFF"/>
          <w:lang w:eastAsia="en-AE"/>
        </w:rPr>
        <w:t xml:space="preserve">Keywords: Doxorubicin, Phytochemicals, Natural products, </w:t>
      </w:r>
      <w:proofErr w:type="spellStart"/>
      <w:r w:rsidRPr="00CB3888">
        <w:rPr>
          <w:rFonts w:ascii="Calibri" w:eastAsia="Times New Roman" w:hAnsi="Calibri" w:cs="Calibri"/>
          <w:i/>
          <w:iCs/>
          <w:color w:val="242424"/>
          <w:sz w:val="20"/>
          <w:szCs w:val="20"/>
          <w:shd w:val="clear" w:color="auto" w:fill="FFFFFF"/>
          <w:lang w:eastAsia="en-AE"/>
        </w:rPr>
        <w:t>LIver</w:t>
      </w:r>
      <w:proofErr w:type="spellEnd"/>
      <w:r w:rsidRPr="00CB3888">
        <w:rPr>
          <w:rFonts w:ascii="Calibri" w:eastAsia="Times New Roman" w:hAnsi="Calibri" w:cs="Calibri"/>
          <w:i/>
          <w:iCs/>
          <w:color w:val="242424"/>
          <w:sz w:val="20"/>
          <w:szCs w:val="20"/>
          <w:shd w:val="clear" w:color="auto" w:fill="FFFFFF"/>
          <w:lang w:eastAsia="en-AE"/>
        </w:rPr>
        <w:t xml:space="preserve"> toxicity, Hepatoprotective</w:t>
      </w:r>
    </w:p>
    <w:sectPr w:rsidR="00C368A4" w:rsidRPr="00CB38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8D"/>
    <w:rsid w:val="000D758D"/>
    <w:rsid w:val="00C368A4"/>
    <w:rsid w:val="00CB388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F8A8"/>
  <w15:chartTrackingRefBased/>
  <w15:docId w15:val="{785633B3-A2BB-418C-B963-439ED261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758D"/>
    <w:pPr>
      <w:spacing w:before="100" w:beforeAutospacing="1" w:after="100" w:afterAutospacing="1" w:line="240" w:lineRule="auto"/>
      <w:outlineLvl w:val="1"/>
    </w:pPr>
    <w:rPr>
      <w:rFonts w:ascii="Times New Roman" w:eastAsia="Times New Roman" w:hAnsi="Times New Roman" w:cs="Times New Roman"/>
      <w:b/>
      <w:bCs/>
      <w:sz w:val="36"/>
      <w:szCs w:val="36"/>
      <w:lang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758D"/>
    <w:rPr>
      <w:rFonts w:ascii="Times New Roman" w:eastAsia="Times New Roman" w:hAnsi="Times New Roman" w:cs="Times New Roman"/>
      <w:b/>
      <w:bCs/>
      <w:sz w:val="36"/>
      <w:szCs w:val="36"/>
      <w:lang w:eastAsia="en-AE"/>
    </w:rPr>
  </w:style>
  <w:style w:type="character" w:styleId="Strong">
    <w:name w:val="Strong"/>
    <w:basedOn w:val="DefaultParagraphFont"/>
    <w:uiPriority w:val="22"/>
    <w:qFormat/>
    <w:rsid w:val="000D758D"/>
    <w:rPr>
      <w:b/>
      <w:bCs/>
    </w:rPr>
  </w:style>
  <w:style w:type="character" w:styleId="Emphasis">
    <w:name w:val="Emphasis"/>
    <w:basedOn w:val="DefaultParagraphFont"/>
    <w:uiPriority w:val="20"/>
    <w:qFormat/>
    <w:rsid w:val="000D758D"/>
    <w:rPr>
      <w:i/>
      <w:iCs/>
    </w:rPr>
  </w:style>
  <w:style w:type="paragraph" w:styleId="NormalWeb">
    <w:name w:val="Normal (Web)"/>
    <w:basedOn w:val="Normal"/>
    <w:uiPriority w:val="99"/>
    <w:semiHidden/>
    <w:unhideWhenUsed/>
    <w:rsid w:val="000D758D"/>
    <w:pPr>
      <w:spacing w:before="100" w:beforeAutospacing="1" w:after="100" w:afterAutospacing="1" w:line="240" w:lineRule="auto"/>
    </w:pPr>
    <w:rPr>
      <w:rFonts w:ascii="Times New Roman" w:eastAsia="Times New Roman" w:hAnsi="Times New Roman" w:cs="Times New Roman"/>
      <w:sz w:val="24"/>
      <w:szCs w:val="24"/>
      <w:lang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1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UAEU</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Shreesh Ojha</dc:creator>
  <cp:keywords/>
  <dc:description/>
  <cp:lastModifiedBy>Shreesh Ojha</cp:lastModifiedBy>
  <cp:revision>1</cp:revision>
  <dcterms:created xsi:type="dcterms:W3CDTF">2025-09-15T09:28:00Z</dcterms:created>
  <dcterms:modified xsi:type="dcterms:W3CDTF">2025-09-15T09:59:00Z</dcterms:modified>
</cp:coreProperties>
</file>