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Meropenem Plasma Concentration and MIC: Early Evaluation in Critically Ill Patients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Delfina Recart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Ana Braslavsky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Paula Scibona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Agustina Parnisari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Gisela Vecchio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Marisa Sanchez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, Vanina Stanek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4,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Ventura Simonovich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Clinical Pharmacology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Unit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Internal Medicine Research Unit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Intensive Care and Assistance Unit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sz w:val="20"/>
          <w:szCs w:val="20"/>
          <w:shd w:fill="fcfbfb" w:val="clear"/>
          <w:rtl w:val="0"/>
        </w:rPr>
        <w:t xml:space="preserve">Infectious Diseases Department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Hospital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Italiano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, Buenos Aires, 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3847148</wp:posOffset>
            </wp:positionH>
            <wp:positionV relativeFrom="paragraph">
              <wp:posOffset>142875</wp:posOffset>
            </wp:positionV>
            <wp:extent cx="2791778" cy="17145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Introduction.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critically ill patients, altered physiology impacts meropenem pharmacokinetics, and evidence on early exposure with empirical dosing is limited. W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 conducted a prospective study to assess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meropenem plasma concentrations during empirical treatment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and its relationship with the MIC of common pathogens.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Aims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In the first stage, this study aimed to describe the early pharmacokinetics of meropenem in critically ill patients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receiving empirical 1 g or 2 g dosing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and to explore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relationship between drug exposure and MIC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The second stage compared both doses to assess if 1 g provides adequate exposure and whether clinical outcomes differ.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Methods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Critically ill adult patients receiving empirical meropenem for ≥24 h were included. A total of 48 plasma samples were obtained from 22 patients: 24 receiving 1 g and 24 receiving 2 g,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administered either as a bolus (30 min) or prolonged infusion (3 h)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 One to two samples per patient were collected at different interdose intervals while empirical therapy continued.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Results.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 total of 48 plasma samples from meropenem-treated patients were analyzed. The pharmacokinetic curve based on the time from the last infusion showed distinct profiles according to the dose received: In the 1 g group, plasma concentrations generally declined below the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MIC threshold (8 mg/L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) within a few hours post-dose. In contrast, the 2 g group maintained higher plasma concentrations over time, with a slower decline and more measurements remaining above the MIC at equivalent time points. Mean concentration-time profiles showed a trend toward higher and more sustained drug exposure in the 2 g group compared to the 1 g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Discussion.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These preliminary data suggest a dose-dependent pharmacokinetic profile, which could be relevant for optimizing dosing strategies, particularly in patients with severe infections or altered pharmacokinetics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8391" w:w="11906" w:orient="landscape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120"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cap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Times New Roman" w:eastAsia="PMingLiU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angría3det.independiente">
    <w:name w:val="Sangría 3 de t. independiente"/>
    <w:basedOn w:val="Normal"/>
    <w:next w:val="Sangría3det.independiente"/>
    <w:autoRedefine w:val="0"/>
    <w:hidden w:val="0"/>
    <w:qFormat w:val="0"/>
    <w:pPr>
      <w:suppressAutoHyphens w:val="1"/>
      <w:spacing w:after="120" w:before="120" w:line="1" w:lineRule="atLeast"/>
      <w:ind w:left="-90" w:leftChars="-1" w:rightChars="0" w:firstLineChars="-1"/>
      <w:jc w:val="center"/>
      <w:textDirection w:val="btLr"/>
      <w:textAlignment w:val="top"/>
      <w:outlineLvl w:val="0"/>
    </w:pPr>
    <w:rPr>
      <w:rFonts w:ascii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ítulo5Car">
    <w:name w:val="Título 5 Car"/>
    <w:next w:val="Título5Car"/>
    <w:autoRedefine w:val="0"/>
    <w:hidden w:val="0"/>
    <w:qFormat w:val="0"/>
    <w:rPr>
      <w:rFonts w:ascii="Calibri" w:cs="Times New Roman" w:eastAsia="PMingLiU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o7KvADTehtYc1zl3ZV4ZYrgYw==">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2025-09-10T20:26:00Z</dcterms:created>
  <dc:creator>gillard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lcf76f155ced4ddcb4097134ff3c332f">
    <vt:lpstr/>
  </property>
  <property fmtid="{D5CDD505-2E9C-101B-9397-08002B2CF9AE}" pid="4" name="TaxCatchAll">
    <vt:lpstr/>
  </property>
</Properties>
</file>