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F1B9" w14:textId="79E9EF1E" w:rsidR="00C315D2" w:rsidRPr="00C315D2" w:rsidRDefault="00C64CEB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Bioanalysis </w:t>
      </w:r>
      <w:r w:rsidR="00AA402E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of </w:t>
      </w:r>
      <w:r w:rsidR="002E196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="002E196B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irzepatide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, a Dual GIP/GLP-1 Receptor Agonist, by LC-MS/MS</w:t>
      </w:r>
      <w:r w:rsidR="002E196B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AA402E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and </w:t>
      </w:r>
      <w:r w:rsidR="002E196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</w:t>
      </w:r>
      <w:r w:rsidR="00AA402E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ts </w:t>
      </w:r>
      <w:r w:rsidR="002E196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 w:rsidR="002E196B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pplication </w:t>
      </w:r>
      <w:r w:rsidR="00AA402E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to </w:t>
      </w:r>
      <w:r w:rsidR="002E196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</w:t>
      </w:r>
      <w:r w:rsidR="002E196B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harmacokinetic </w:t>
      </w:r>
      <w:r w:rsidR="002E196B">
        <w:rPr>
          <w:rFonts w:ascii="Arial" w:eastAsia="맑은 고딕" w:hAnsi="Arial" w:cs="Calibri"/>
          <w:b/>
          <w:bCs/>
          <w:kern w:val="0"/>
          <w:lang w:val="en-US" w:eastAsia="ko-KR"/>
          <w14:ligatures w14:val="none"/>
        </w:rPr>
        <w:t>S</w:t>
      </w:r>
      <w:r w:rsidR="002E196B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tudies </w:t>
      </w:r>
      <w:r w:rsidR="00AA402E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in </w:t>
      </w:r>
      <w:r w:rsidR="002E196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R</w:t>
      </w:r>
      <w:r w:rsidR="00AA402E" w:rsidRPr="00AA402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ats</w:t>
      </w:r>
    </w:p>
    <w:p w14:paraId="54E6BDB0" w14:textId="6B0F2A11" w:rsidR="00AA402E" w:rsidRPr="00AA402E" w:rsidRDefault="00AA402E" w:rsidP="4FE71DF4">
      <w:pPr>
        <w:spacing w:after="0" w:line="24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402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Minju Hyeon</w:t>
      </w:r>
      <w:r w:rsidRPr="00AA402E">
        <w:rPr>
          <w:rFonts w:ascii="Arial" w:hAnsi="Arial" w:cs="Arial"/>
          <w:b/>
          <w:bCs/>
          <w:color w:val="000000"/>
          <w:sz w:val="20"/>
          <w:szCs w:val="20"/>
          <w:u w:val="single"/>
          <w:vertAlign w:val="superscript"/>
        </w:rPr>
        <w:t>1</w:t>
      </w:r>
      <w:r w:rsidRPr="00AA402E">
        <w:rPr>
          <w:rFonts w:ascii="Arial" w:hAnsi="Arial" w:cs="Arial"/>
          <w:color w:val="000000"/>
          <w:sz w:val="20"/>
          <w:szCs w:val="20"/>
        </w:rPr>
        <w:t xml:space="preserve">, </w:t>
      </w:r>
      <w:r w:rsidR="002E196B" w:rsidRPr="00AA402E">
        <w:rPr>
          <w:rFonts w:ascii="Arial" w:hAnsi="Arial" w:cs="Arial"/>
          <w:color w:val="000000"/>
          <w:sz w:val="20"/>
          <w:szCs w:val="20"/>
        </w:rPr>
        <w:t>Sehee Hahm</w:t>
      </w:r>
      <w:r w:rsidR="002E196B" w:rsidRPr="00AA402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="002E196B" w:rsidRPr="00AA402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A402E">
        <w:rPr>
          <w:rFonts w:ascii="Arial" w:hAnsi="Arial" w:cs="Arial"/>
          <w:color w:val="000000"/>
          <w:sz w:val="20"/>
          <w:szCs w:val="20"/>
        </w:rPr>
        <w:t>Yeonju Kang</w:t>
      </w:r>
      <w:r w:rsidRPr="00AA402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AA402E">
        <w:rPr>
          <w:rFonts w:ascii="Arial" w:hAnsi="Arial" w:cs="Arial"/>
          <w:color w:val="000000"/>
          <w:sz w:val="20"/>
          <w:szCs w:val="20"/>
        </w:rPr>
        <w:t>, Siyeon Kim</w:t>
      </w:r>
      <w:r w:rsidRPr="00AA402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AA402E">
        <w:rPr>
          <w:rFonts w:ascii="Arial" w:hAnsi="Arial" w:cs="Arial"/>
          <w:color w:val="000000"/>
          <w:sz w:val="20"/>
          <w:szCs w:val="20"/>
        </w:rPr>
        <w:t>, Soyoung Shin</w:t>
      </w:r>
      <w:r w:rsidRPr="00AA402E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AA402E">
        <w:rPr>
          <w:rFonts w:ascii="Arial" w:hAnsi="Arial" w:cs="Arial"/>
          <w:color w:val="000000"/>
          <w:sz w:val="20"/>
          <w:szCs w:val="20"/>
        </w:rPr>
        <w:t xml:space="preserve">, </w:t>
      </w:r>
      <w:r w:rsidR="00DA5084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AA402E">
        <w:rPr>
          <w:rFonts w:ascii="Arial" w:hAnsi="Arial" w:cs="Arial"/>
          <w:color w:val="000000"/>
          <w:sz w:val="20"/>
          <w:szCs w:val="20"/>
        </w:rPr>
        <w:t>Beom Soo Shin</w:t>
      </w:r>
      <w:r w:rsidRPr="00AA402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14:paraId="137D4547" w14:textId="1E7F06D9" w:rsidR="00C315D2" w:rsidRPr="00C315D2" w:rsidRDefault="00AA402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AA40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Pharmacy, Sungkyunkwan University</w:t>
      </w:r>
      <w:r w:rsidR="009D6951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AA40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Suwon, Repu</w:t>
      </w:r>
      <w:r w:rsidR="002E19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</w:t>
      </w:r>
      <w:r w:rsidRPr="00AA40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lic of Korea;</w:t>
      </w:r>
    </w:p>
    <w:p w14:paraId="5B7B5EC9" w14:textId="2BA61BA3" w:rsidR="00AA402E" w:rsidRDefault="00AA402E" w:rsidP="00C315D2">
      <w:pPr>
        <w:spacing w:after="0" w:line="240" w:lineRule="auto"/>
        <w:rPr>
          <w:rFonts w:ascii="Arial" w:eastAsia="맑은 고딕" w:hAnsi="Arial" w:cs="Calibri"/>
          <w:bCs/>
          <w:kern w:val="0"/>
          <w:sz w:val="20"/>
          <w:szCs w:val="20"/>
          <w:lang w:eastAsia="ko-KR"/>
          <w14:ligatures w14:val="none"/>
        </w:rPr>
      </w:pPr>
      <w:r w:rsidRPr="00AA40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College of Pharmacy, Chung-Ang University</w:t>
      </w:r>
      <w:r w:rsidR="009D6951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AA40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Seoul, Repu</w:t>
      </w:r>
      <w:r w:rsidR="002E19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</w:t>
      </w:r>
      <w:r w:rsidRPr="00AA402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lic of Korea.</w:t>
      </w:r>
    </w:p>
    <w:p w14:paraId="2DD37039" w14:textId="1A8AD789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9EF39DC" w14:textId="49BB37D9" w:rsidR="00F74B9F" w:rsidRDefault="00B8473A" w:rsidP="00AA402E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AA402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AA402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DA508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A402E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Tirzepatide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is the </w:t>
      </w:r>
      <w:r w:rsidR="00AA402E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first dual glucose-dependent insulinotropic polypeptide (GIP) and glucagon-like peptide-1 (GLP-1) receptor co-agonist, approved for the treatment of type 2 diabetes</w:t>
      </w:r>
      <w:r w:rsidR="00F74B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obesity</w:t>
      </w:r>
      <w:r w:rsidR="00AA402E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7C294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34E7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Tirzepatide</w:t>
      </w:r>
      <w:r w:rsidR="000373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shows superior glycemic control and weight loss compared to conventional GLP-1 receptor agonists. </w:t>
      </w:r>
      <w:r w:rsidR="00AA402E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This study aimed to develop a liquid chromatography-tandem mass spectrometry (LC-MS/MS) method </w:t>
      </w:r>
      <w:r w:rsidR="00F74B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for the quantification of tirzepatide and to c</w:t>
      </w:r>
      <w:r w:rsidR="00AA402E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haracterize </w:t>
      </w:r>
      <w:r w:rsidR="00F74B9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its pharmacokinetics in rats. </w:t>
      </w:r>
    </w:p>
    <w:p w14:paraId="15D93483" w14:textId="77777777" w:rsidR="00C315D2" w:rsidRPr="00AA402E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1C5E570" w14:textId="1F62103E" w:rsidR="002F1F4C" w:rsidRDefault="00C315D2" w:rsidP="00C315D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AA402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="00DA508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Tirzepatide was extracted from the rat plasma 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by simple protein precipitation with methanol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Chromatographic separation was achieved </w:t>
      </w:r>
      <w:r w:rsidR="000373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by 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gradient elution, with mobile phases </w:t>
      </w:r>
      <w:r w:rsidR="00C63F0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composed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0.1% formic acid </w:t>
      </w:r>
      <w:r w:rsidR="00C64CE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distilled water and acetonitrile. </w:t>
      </w:r>
      <w:r w:rsidR="000373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Mass spectrometry was conducted in positive electrospray ionization mode with optimized m</w:t>
      </w:r>
      <w:r w:rsidR="002F1F4C" w:rsidRP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ultiple reaction monitoring (MRM) transitions for tirzepatide quantification. 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The method</w:t>
      </w:r>
      <w:r w:rsidR="002F1F4C" w:rsidRP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was 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validated </w:t>
      </w:r>
      <w:r w:rsidR="002F1F4C" w:rsidRP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according to FDA bioanalytical guidelines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Sprague-Dawley rats were given tirzepatide by </w:t>
      </w:r>
      <w:r w:rsidR="00DA508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intravenous (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IV</w:t>
      </w:r>
      <w:r w:rsidR="00DA508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injection at 0.01, 0.05, and 0.5 mg/kg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(n = 3-4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and by </w:t>
      </w:r>
      <w:r w:rsidR="003D59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subcutaneous (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SC</w:t>
      </w:r>
      <w:r w:rsidR="003D59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injection at </w:t>
      </w:r>
      <w:r w:rsidR="003D59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="003D59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2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mg/kg</w:t>
      </w:r>
      <w:r w:rsidR="002F1F4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(n = 4-6)</w:t>
      </w:r>
      <w:r w:rsidR="00DA5084" w:rsidRPr="00AA402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DA508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DA5084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Pharmacokinetic parameters were estimated using non-compartmental analysis.</w:t>
      </w:r>
    </w:p>
    <w:p w14:paraId="5E00F520" w14:textId="1015E17C" w:rsidR="002F1F4C" w:rsidRPr="00AA402E" w:rsidRDefault="00DA5084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en-GB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</w:p>
    <w:p w14:paraId="37683296" w14:textId="2C1FC289" w:rsidR="00C315D2" w:rsidRPr="00AA402E" w:rsidRDefault="00795378" w:rsidP="004446C1">
      <w:pPr>
        <w:spacing w:after="0" w:line="240" w:lineRule="auto"/>
        <w:jc w:val="both"/>
        <w:rPr>
          <w:rFonts w:ascii="Arial" w:eastAsia="맑은 고딕" w:hAnsi="Arial" w:cs="Arial"/>
          <w:kern w:val="0"/>
          <w:sz w:val="20"/>
          <w:szCs w:val="20"/>
          <w:lang w:val="en-US" w:eastAsia="ko-KR"/>
          <w14:ligatures w14:val="none"/>
        </w:rPr>
      </w:pPr>
      <w:r w:rsidRPr="00AA402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DA508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The </w:t>
      </w:r>
      <w:r w:rsidR="00C63F0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developed 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LC–MS/MS method </w:t>
      </w:r>
      <w:r w:rsidR="00C63F0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achieved a lower limit of quantification of 2 ng/mL with a linear calibration range of 2-2000 ng/mL</w:t>
      </w:r>
      <w:r w:rsidR="004446C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 I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ntra- and inter-day accuracy </w:t>
      </w:r>
      <w:r w:rsidR="004446C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ranged 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from 98.72% to 105.3%, with precision within 9.63%, satisfying regulatory guidelines for bioanalytical method validation.</w:t>
      </w:r>
      <w:r w:rsidR="0063403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Following IV injection, p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lasma concentration of tirzepatide declined in a multi-exponential manner, with </w:t>
      </w:r>
      <w:r w:rsidR="00DA508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an 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average half-life of 9</w:t>
      </w:r>
      <w:r w:rsidR="006566C3">
        <w:rPr>
          <w:rFonts w:ascii="Arial" w:eastAsia="맑은 고딕" w:hAnsi="Arial" w:cs="Arial" w:hint="eastAsia"/>
          <w:kern w:val="0"/>
          <w:sz w:val="20"/>
          <w:szCs w:val="20"/>
          <w:lang w:val="en-US" w:eastAsia="ko-KR"/>
          <w14:ligatures w14:val="none"/>
        </w:rPr>
        <w:t>.42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–</w:t>
      </w:r>
      <w:r w:rsidR="006566C3">
        <w:rPr>
          <w:rFonts w:ascii="Arial" w:eastAsia="맑은 고딕" w:hAnsi="Arial" w:cs="Arial" w:hint="eastAsia"/>
          <w:kern w:val="0"/>
          <w:sz w:val="20"/>
          <w:szCs w:val="20"/>
          <w:lang w:val="en-US" w:eastAsia="ko-KR"/>
          <w14:ligatures w14:val="none"/>
        </w:rPr>
        <w:t>10.27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h.</w:t>
      </w:r>
      <w:r w:rsidR="00DA508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63403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Systemic exposure, as determined by the area under the curve (AUC), increased with dose. </w:t>
      </w:r>
      <w:r w:rsidR="003D5902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The </w:t>
      </w:r>
      <w:r w:rsidR="0063403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subcutaneous 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bioavailability of tirzepatide was calculated to be 61.08</w:t>
      </w:r>
      <w:r w:rsidR="004446C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-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74.36%</w:t>
      </w:r>
      <w:r w:rsidR="003D5902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in rats</w:t>
      </w:r>
      <w:r w:rsidR="00AA402E" w:rsidRPr="00AA402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</w:t>
      </w:r>
    </w:p>
    <w:p w14:paraId="607499A5" w14:textId="77777777" w:rsidR="00AA402E" w:rsidRPr="004446C1" w:rsidRDefault="00AA402E" w:rsidP="00AA402E">
      <w:pPr>
        <w:spacing w:after="0" w:line="240" w:lineRule="auto"/>
        <w:jc w:val="both"/>
        <w:rPr>
          <w:rFonts w:ascii="Arial" w:eastAsia="맑은 고딕" w:hAnsi="Arial" w:cs="Calibri"/>
          <w:kern w:val="0"/>
          <w:lang w:val="en-US" w:eastAsia="ko-KR"/>
          <w14:ligatures w14:val="none"/>
        </w:rPr>
      </w:pPr>
    </w:p>
    <w:p w14:paraId="4AE987E5" w14:textId="5976BED6" w:rsidR="004446C1" w:rsidRPr="00AA402E" w:rsidRDefault="00B8473A" w:rsidP="004446C1">
      <w:pPr>
        <w:spacing w:after="0" w:line="240" w:lineRule="auto"/>
        <w:jc w:val="both"/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DA508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4446C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 robust and sensitive LC-MS/MS method was successfully developed and validated for the quantification of tirzepatide. </w:t>
      </w:r>
      <w:r w:rsidR="0063403D" w:rsidRPr="0063403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 method enabled reliable characterization of tirzepatide pharmacokinetics in rats and provides a useful analytical platform to support future investigations, including formulation development and translational research.</w:t>
      </w:r>
    </w:p>
    <w:p w14:paraId="0C1B9484" w14:textId="77777777" w:rsidR="00AA402E" w:rsidRPr="00AA402E" w:rsidRDefault="00AA402E" w:rsidP="004446C1">
      <w:pPr>
        <w:spacing w:after="0" w:line="240" w:lineRule="auto"/>
        <w:jc w:val="both"/>
        <w:rPr>
          <w:rFonts w:ascii="Arial" w:eastAsia="맑은 고딕" w:hAnsi="Arial" w:cs="Arial"/>
          <w:b/>
          <w:kern w:val="0"/>
          <w:lang w:eastAsia="ko-KR"/>
          <w14:ligatures w14:val="none"/>
        </w:rPr>
      </w:pPr>
    </w:p>
    <w:p w14:paraId="2C801966" w14:textId="253A2105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04BE8EFA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9D6951" w:rsidRPr="009D695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Nauck, M. A.</w:t>
      </w:r>
      <w:r w:rsidR="009D6951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 xml:space="preserve"> et</w:t>
      </w:r>
      <w:r w:rsidR="00DA5084">
        <w:rPr>
          <w:rFonts w:ascii="Arial" w:eastAsia="맑은 고딕" w:hAnsi="Arial" w:cs="Calibri"/>
          <w:bCs/>
          <w:kern w:val="0"/>
          <w:sz w:val="20"/>
          <w:szCs w:val="20"/>
          <w:lang w:val="en-US" w:eastAsia="ko-KR"/>
          <w14:ligatures w14:val="none"/>
        </w:rPr>
        <w:t xml:space="preserve"> </w:t>
      </w:r>
      <w:r w:rsidR="009D6951">
        <w:rPr>
          <w:rFonts w:ascii="Arial" w:eastAsia="맑은 고딕" w:hAnsi="Arial" w:cs="Calibri" w:hint="eastAsia"/>
          <w:bCs/>
          <w:kern w:val="0"/>
          <w:sz w:val="20"/>
          <w:szCs w:val="20"/>
          <w:lang w:val="en-US" w:eastAsia="ko-KR"/>
          <w14:ligatures w14:val="none"/>
        </w:rPr>
        <w:t>al</w:t>
      </w:r>
      <w:r w:rsidR="009D6951" w:rsidRPr="009D695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(2022) Cardiovascular diabetology, 21:169</w:t>
      </w:r>
    </w:p>
    <w:p w14:paraId="12951BDD" w14:textId="77777777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F42A" w14:textId="77777777" w:rsidR="00D66CF3" w:rsidRDefault="00D66CF3" w:rsidP="00581D93">
      <w:pPr>
        <w:spacing w:after="0" w:line="240" w:lineRule="auto"/>
      </w:pPr>
      <w:r>
        <w:separator/>
      </w:r>
    </w:p>
  </w:endnote>
  <w:endnote w:type="continuationSeparator" w:id="0">
    <w:p w14:paraId="7BA2196E" w14:textId="77777777" w:rsidR="00D66CF3" w:rsidRDefault="00D66CF3" w:rsidP="005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4C0E" w14:textId="77777777" w:rsidR="00D66CF3" w:rsidRDefault="00D66CF3" w:rsidP="00581D93">
      <w:pPr>
        <w:spacing w:after="0" w:line="240" w:lineRule="auto"/>
      </w:pPr>
      <w:r>
        <w:separator/>
      </w:r>
    </w:p>
  </w:footnote>
  <w:footnote w:type="continuationSeparator" w:id="0">
    <w:p w14:paraId="0E0FB4B7" w14:textId="77777777" w:rsidR="00D66CF3" w:rsidRDefault="00D66CF3" w:rsidP="00581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73F8"/>
    <w:rsid w:val="00107368"/>
    <w:rsid w:val="00113BB7"/>
    <w:rsid w:val="002017E6"/>
    <w:rsid w:val="00294059"/>
    <w:rsid w:val="002E196B"/>
    <w:rsid w:val="002F1F4C"/>
    <w:rsid w:val="003206E4"/>
    <w:rsid w:val="003A6D5C"/>
    <w:rsid w:val="003D5902"/>
    <w:rsid w:val="00406EED"/>
    <w:rsid w:val="004446C1"/>
    <w:rsid w:val="00471FA8"/>
    <w:rsid w:val="004A51B6"/>
    <w:rsid w:val="00510CF8"/>
    <w:rsid w:val="00536FBD"/>
    <w:rsid w:val="00575A29"/>
    <w:rsid w:val="00581D93"/>
    <w:rsid w:val="00601754"/>
    <w:rsid w:val="0063403D"/>
    <w:rsid w:val="006566C3"/>
    <w:rsid w:val="006A34BE"/>
    <w:rsid w:val="006F3F1C"/>
    <w:rsid w:val="007141F2"/>
    <w:rsid w:val="00734E77"/>
    <w:rsid w:val="007561D8"/>
    <w:rsid w:val="007672E9"/>
    <w:rsid w:val="00776C80"/>
    <w:rsid w:val="00795378"/>
    <w:rsid w:val="00796206"/>
    <w:rsid w:val="007C2940"/>
    <w:rsid w:val="007C367E"/>
    <w:rsid w:val="008071C5"/>
    <w:rsid w:val="008735B2"/>
    <w:rsid w:val="00906D34"/>
    <w:rsid w:val="00933DC9"/>
    <w:rsid w:val="00936D4C"/>
    <w:rsid w:val="009523F9"/>
    <w:rsid w:val="009650DF"/>
    <w:rsid w:val="009B1CBB"/>
    <w:rsid w:val="009D6951"/>
    <w:rsid w:val="00A0516D"/>
    <w:rsid w:val="00AA402E"/>
    <w:rsid w:val="00B055AF"/>
    <w:rsid w:val="00B4721D"/>
    <w:rsid w:val="00B8473A"/>
    <w:rsid w:val="00C21815"/>
    <w:rsid w:val="00C315D2"/>
    <w:rsid w:val="00C353D8"/>
    <w:rsid w:val="00C63F09"/>
    <w:rsid w:val="00C64CEB"/>
    <w:rsid w:val="00CC417A"/>
    <w:rsid w:val="00CD7CAD"/>
    <w:rsid w:val="00CF5A91"/>
    <w:rsid w:val="00CF7998"/>
    <w:rsid w:val="00D02BB1"/>
    <w:rsid w:val="00D45A74"/>
    <w:rsid w:val="00D64628"/>
    <w:rsid w:val="00D66CF3"/>
    <w:rsid w:val="00D7428F"/>
    <w:rsid w:val="00DA5084"/>
    <w:rsid w:val="00DE4CF7"/>
    <w:rsid w:val="00DF13CB"/>
    <w:rsid w:val="00EC0AE0"/>
    <w:rsid w:val="00EC3746"/>
    <w:rsid w:val="00F539FB"/>
    <w:rsid w:val="00F74B9F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81D9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81D93"/>
  </w:style>
  <w:style w:type="paragraph" w:styleId="ab">
    <w:name w:val="footer"/>
    <w:basedOn w:val="a"/>
    <w:link w:val="Char4"/>
    <w:uiPriority w:val="99"/>
    <w:unhideWhenUsed/>
    <w:rsid w:val="00581D9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8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2321</Characters>
  <Application>Microsoft Office Word</Application>
  <DocSecurity>0</DocSecurity>
  <Lines>37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신소영</cp:lastModifiedBy>
  <cp:revision>6</cp:revision>
  <dcterms:created xsi:type="dcterms:W3CDTF">2025-07-31T06:12:00Z</dcterms:created>
  <dcterms:modified xsi:type="dcterms:W3CDTF">2025-07-31T06:15:00Z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58ec6ccf-31cf-4503-b32b-363a3818fccc</vt:lpwstr>
  </property>
</Properties>
</file>