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506E6" w14:textId="38A391D6" w:rsidR="000F6514" w:rsidRDefault="000F6514" w:rsidP="009A4CFF">
      <w:pPr>
        <w:ind w:left="284" w:right="282"/>
        <w:jc w:val="center"/>
        <w:rPr>
          <w:rFonts w:ascii="Calibri" w:hAnsi="Calibri" w:cs="Calibri"/>
          <w:b/>
          <w:sz w:val="28"/>
          <w:szCs w:val="28"/>
          <w:lang w:val="en-AU"/>
        </w:rPr>
      </w:pPr>
      <w:r w:rsidRPr="000F6514">
        <w:rPr>
          <w:rFonts w:ascii="Calibri" w:hAnsi="Calibri" w:cs="Calibri"/>
          <w:b/>
          <w:sz w:val="28"/>
          <w:szCs w:val="28"/>
          <w:lang w:val="en-AU"/>
        </w:rPr>
        <w:t>Towards Battery Chemistries beyond Lithium Ion Batteries; Ultrafast Sodium/Potassium ion intercalation into hierarchically porous thin carbon shells</w:t>
      </w:r>
    </w:p>
    <w:p w14:paraId="57C45AC5" w14:textId="77777777" w:rsidR="00DF1C8E" w:rsidRDefault="00DF1C8E" w:rsidP="009A4CFF">
      <w:pPr>
        <w:ind w:left="284" w:right="282"/>
        <w:jc w:val="both"/>
        <w:rPr>
          <w:rFonts w:ascii="Calibri" w:hAnsi="Calibri" w:cs="Calibri"/>
          <w:sz w:val="20"/>
          <w:szCs w:val="20"/>
          <w:lang w:val="en-AU"/>
        </w:rPr>
      </w:pPr>
    </w:p>
    <w:p w14:paraId="22DB1634" w14:textId="01A2B2DE" w:rsidR="00DF1C8E" w:rsidRPr="005F19FF" w:rsidRDefault="000F6514" w:rsidP="009A4CFF">
      <w:pPr>
        <w:ind w:left="284" w:right="282"/>
        <w:jc w:val="center"/>
        <w:rPr>
          <w:rFonts w:ascii="Calibri" w:hAnsi="Calibri" w:cs="Calibri"/>
          <w:i/>
          <w:lang w:val="en-AU"/>
        </w:rPr>
      </w:pPr>
      <w:r>
        <w:rPr>
          <w:rFonts w:ascii="Calibri" w:hAnsi="Calibri" w:cs="Calibri"/>
          <w:i/>
          <w:lang w:val="en-AU"/>
        </w:rPr>
        <w:t>Asif Mahmood</w:t>
      </w:r>
      <w:r w:rsidR="00711813" w:rsidRPr="005F19FF">
        <w:rPr>
          <w:rFonts w:ascii="Calibri" w:hAnsi="Calibri" w:cs="Calibri"/>
          <w:i/>
          <w:lang w:val="en-AU"/>
        </w:rPr>
        <w:t>,</w:t>
      </w:r>
      <w:r w:rsidR="000D149F">
        <w:rPr>
          <w:rFonts w:ascii="Calibri" w:hAnsi="Calibri" w:cs="Calibri"/>
          <w:i/>
          <w:lang w:val="en-AU"/>
        </w:rPr>
        <w:t xml:space="preserve"> Prof.</w:t>
      </w:r>
      <w:r w:rsidR="00711813" w:rsidRPr="005F19FF">
        <w:rPr>
          <w:rFonts w:ascii="Calibri" w:hAnsi="Calibri" w:cs="Calibri"/>
          <w:i/>
          <w:lang w:val="en-AU"/>
        </w:rPr>
        <w:t xml:space="preserve"> </w:t>
      </w:r>
      <w:r>
        <w:rPr>
          <w:rFonts w:ascii="Calibri" w:hAnsi="Calibri" w:cs="Calibri"/>
          <w:i/>
          <w:lang w:val="en-AU"/>
        </w:rPr>
        <w:t>Yuan Chen</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27B4DA42" w14:textId="44D3768C" w:rsidR="000F6514" w:rsidRDefault="000F6514" w:rsidP="000F6514">
      <w:pPr>
        <w:ind w:left="284" w:right="282"/>
        <w:jc w:val="center"/>
        <w:rPr>
          <w:rFonts w:ascii="Calibri" w:hAnsi="Calibri" w:cs="Calibri"/>
          <w:sz w:val="22"/>
          <w:szCs w:val="22"/>
          <w:lang w:val="en-AU"/>
        </w:rPr>
      </w:pPr>
      <w:r w:rsidRPr="000F6514">
        <w:rPr>
          <w:rFonts w:ascii="Calibri" w:hAnsi="Calibri" w:cs="Calibri"/>
          <w:sz w:val="22"/>
          <w:szCs w:val="22"/>
          <w:lang w:val="en-AU"/>
        </w:rPr>
        <w:t>School of Chemical and Biomolecular Engineering</w:t>
      </w:r>
      <w:r>
        <w:rPr>
          <w:rFonts w:ascii="Calibri" w:hAnsi="Calibri" w:cs="Calibri"/>
          <w:sz w:val="22"/>
          <w:szCs w:val="22"/>
          <w:lang w:val="en-AU"/>
        </w:rPr>
        <w:t xml:space="preserve">, </w:t>
      </w:r>
      <w:r w:rsidRPr="000F6514">
        <w:rPr>
          <w:rFonts w:ascii="Calibri" w:hAnsi="Calibri" w:cs="Calibri"/>
          <w:sz w:val="22"/>
          <w:szCs w:val="22"/>
          <w:lang w:val="en-AU"/>
        </w:rPr>
        <w:t xml:space="preserve">The </w:t>
      </w:r>
      <w:bookmarkStart w:id="0" w:name="_GoBack"/>
      <w:bookmarkEnd w:id="0"/>
      <w:r w:rsidRPr="000F6514">
        <w:rPr>
          <w:rFonts w:ascii="Calibri" w:hAnsi="Calibri" w:cs="Calibri"/>
          <w:sz w:val="22"/>
          <w:szCs w:val="22"/>
          <w:lang w:val="en-AU"/>
        </w:rPr>
        <w:t>University of Sydney, 2006, Sydney, Australia</w:t>
      </w:r>
    </w:p>
    <w:p w14:paraId="05E17889" w14:textId="2D8DF485" w:rsidR="00711813" w:rsidRDefault="00711813" w:rsidP="009A4CFF">
      <w:pPr>
        <w:pStyle w:val="Default"/>
        <w:ind w:left="284" w:right="282"/>
        <w:jc w:val="both"/>
        <w:rPr>
          <w:color w:val="auto"/>
          <w:sz w:val="22"/>
          <w:szCs w:val="22"/>
          <w:lang w:val="en-AU"/>
        </w:rPr>
      </w:pPr>
    </w:p>
    <w:p w14:paraId="48CD8FB0" w14:textId="6908E489" w:rsidR="000F6514" w:rsidRDefault="000F6514" w:rsidP="009A4CFF">
      <w:pPr>
        <w:pStyle w:val="Default"/>
        <w:ind w:left="284" w:right="282"/>
        <w:jc w:val="both"/>
        <w:rPr>
          <w:color w:val="auto"/>
          <w:sz w:val="22"/>
          <w:szCs w:val="22"/>
          <w:lang w:val="en-AU"/>
        </w:rPr>
      </w:pPr>
      <w:r w:rsidRPr="000F6514">
        <w:rPr>
          <w:noProof/>
          <w:color w:val="auto"/>
          <w:sz w:val="22"/>
          <w:szCs w:val="22"/>
          <w:lang w:val="en-AU"/>
        </w:rPr>
        <w:drawing>
          <wp:anchor distT="0" distB="0" distL="114300" distR="114300" simplePos="0" relativeHeight="251662336" behindDoc="1" locked="0" layoutInCell="1" allowOverlap="1" wp14:anchorId="36E6E1AF" wp14:editId="649BA2B1">
            <wp:simplePos x="0" y="0"/>
            <wp:positionH relativeFrom="margin">
              <wp:posOffset>4583430</wp:posOffset>
            </wp:positionH>
            <wp:positionV relativeFrom="paragraph">
              <wp:posOffset>1371600</wp:posOffset>
            </wp:positionV>
            <wp:extent cx="1370965" cy="1097280"/>
            <wp:effectExtent l="0" t="0" r="635" b="7620"/>
            <wp:wrapTight wrapText="bothSides">
              <wp:wrapPolygon edited="0">
                <wp:start x="0" y="0"/>
                <wp:lineTo x="0" y="21375"/>
                <wp:lineTo x="21310" y="21375"/>
                <wp:lineTo x="21310" y="0"/>
                <wp:lineTo x="0" y="0"/>
              </wp:wrapPolygon>
            </wp:wrapTight>
            <wp:docPr id="8" name="Picture 7">
              <a:extLst xmlns:a="http://schemas.openxmlformats.org/drawingml/2006/main">
                <a:ext uri="{FF2B5EF4-FFF2-40B4-BE49-F238E27FC236}">
                  <a16:creationId xmlns:a16="http://schemas.microsoft.com/office/drawing/2014/main" id="{25420162-B650-4159-949E-5277AD84F1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5420162-B650-4159-949E-5277AD84F10A}"/>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5651" t="10265" r="11005" b="2574"/>
                    <a:stretch/>
                  </pic:blipFill>
                  <pic:spPr>
                    <a:xfrm>
                      <a:off x="0" y="0"/>
                      <a:ext cx="1370965" cy="1097280"/>
                    </a:xfrm>
                    <a:prstGeom prst="rect">
                      <a:avLst/>
                    </a:prstGeom>
                  </pic:spPr>
                </pic:pic>
              </a:graphicData>
            </a:graphic>
            <wp14:sizeRelH relativeFrom="margin">
              <wp14:pctWidth>0</wp14:pctWidth>
            </wp14:sizeRelH>
            <wp14:sizeRelV relativeFrom="margin">
              <wp14:pctHeight>0</wp14:pctHeight>
            </wp14:sizeRelV>
          </wp:anchor>
        </w:drawing>
      </w:r>
      <w:r w:rsidRPr="000F6514">
        <w:rPr>
          <w:noProof/>
          <w:color w:val="auto"/>
          <w:sz w:val="22"/>
          <w:szCs w:val="22"/>
          <w:lang w:val="en-AU"/>
        </w:rPr>
        <w:drawing>
          <wp:anchor distT="0" distB="0" distL="114300" distR="114300" simplePos="0" relativeHeight="251661312" behindDoc="1" locked="0" layoutInCell="1" allowOverlap="1" wp14:anchorId="6C27599B" wp14:editId="763B8649">
            <wp:simplePos x="0" y="0"/>
            <wp:positionH relativeFrom="column">
              <wp:posOffset>3085465</wp:posOffset>
            </wp:positionH>
            <wp:positionV relativeFrom="paragraph">
              <wp:posOffset>1377950</wp:posOffset>
            </wp:positionV>
            <wp:extent cx="1323340" cy="1097280"/>
            <wp:effectExtent l="0" t="0" r="0" b="7620"/>
            <wp:wrapTight wrapText="bothSides">
              <wp:wrapPolygon edited="0">
                <wp:start x="0" y="0"/>
                <wp:lineTo x="0" y="21375"/>
                <wp:lineTo x="21144" y="21375"/>
                <wp:lineTo x="21144" y="0"/>
                <wp:lineTo x="0" y="0"/>
              </wp:wrapPolygon>
            </wp:wrapTight>
            <wp:docPr id="6" name="Picture 5">
              <a:extLst xmlns:a="http://schemas.openxmlformats.org/drawingml/2006/main">
                <a:ext uri="{FF2B5EF4-FFF2-40B4-BE49-F238E27FC236}">
                  <a16:creationId xmlns:a16="http://schemas.microsoft.com/office/drawing/2014/main" id="{A40ACFA2-ABF9-42E7-A6BB-B7C697C406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40ACFA2-ABF9-42E7-A6BB-B7C697C4069D}"/>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1712" t="10266" r="16733" b="1397"/>
                    <a:stretch/>
                  </pic:blipFill>
                  <pic:spPr>
                    <a:xfrm>
                      <a:off x="0" y="0"/>
                      <a:ext cx="1323340" cy="1097280"/>
                    </a:xfrm>
                    <a:prstGeom prst="rect">
                      <a:avLst/>
                    </a:prstGeom>
                  </pic:spPr>
                </pic:pic>
              </a:graphicData>
            </a:graphic>
            <wp14:sizeRelH relativeFrom="margin">
              <wp14:pctWidth>0</wp14:pctWidth>
            </wp14:sizeRelH>
            <wp14:sizeRelV relativeFrom="margin">
              <wp14:pctHeight>0</wp14:pctHeight>
            </wp14:sizeRelV>
          </wp:anchor>
        </w:drawing>
      </w:r>
      <w:r w:rsidRPr="000F6514">
        <w:rPr>
          <w:noProof/>
          <w:color w:val="auto"/>
          <w:sz w:val="22"/>
          <w:szCs w:val="22"/>
          <w:lang w:val="en-AU"/>
        </w:rPr>
        <mc:AlternateContent>
          <mc:Choice Requires="wps">
            <w:drawing>
              <wp:anchor distT="0" distB="0" distL="114300" distR="114300" simplePos="0" relativeHeight="251664384" behindDoc="0" locked="0" layoutInCell="1" allowOverlap="1" wp14:anchorId="1B124549" wp14:editId="2B9B37C1">
                <wp:simplePos x="0" y="0"/>
                <wp:positionH relativeFrom="margin">
                  <wp:posOffset>4568825</wp:posOffset>
                </wp:positionH>
                <wp:positionV relativeFrom="paragraph">
                  <wp:posOffset>2473960</wp:posOffset>
                </wp:positionV>
                <wp:extent cx="1408430" cy="243205"/>
                <wp:effectExtent l="57150" t="38100" r="39370" b="80645"/>
                <wp:wrapNone/>
                <wp:docPr id="1" name="Rectangle: Rounded Corners 2">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408430" cy="243205"/>
                        </a:xfrm>
                        <a:prstGeom prst="roundRect">
                          <a:avLst/>
                        </a:prstGeom>
                        <a:solidFill>
                          <a:srgbClr val="FF0000"/>
                        </a:solidFill>
                        <a:ln>
                          <a:headEnd type="none" w="med" len="med"/>
                          <a:tailEnd type="none" w="med" len="med"/>
                        </a:ln>
                        <a:extLst/>
                      </wps:spPr>
                      <wps:style>
                        <a:lnRef idx="0">
                          <a:schemeClr val="accent2"/>
                        </a:lnRef>
                        <a:fillRef idx="3">
                          <a:schemeClr val="accent2"/>
                        </a:fillRef>
                        <a:effectRef idx="3">
                          <a:schemeClr val="accent2"/>
                        </a:effectRef>
                        <a:fontRef idx="minor">
                          <a:schemeClr val="lt1"/>
                        </a:fontRef>
                      </wps:style>
                      <wps:txbx>
                        <w:txbxContent>
                          <w:p w14:paraId="213434D2" w14:textId="77777777" w:rsidR="000F6514" w:rsidRPr="00852138" w:rsidRDefault="000F6514" w:rsidP="000F6514">
                            <w:pPr>
                              <w:pStyle w:val="Default"/>
                              <w:textAlignment w:val="baseline"/>
                              <w:rPr>
                                <w:sz w:val="16"/>
                                <w:szCs w:val="16"/>
                              </w:rPr>
                            </w:pPr>
                            <w:r w:rsidRPr="00852138">
                              <w:rPr>
                                <w:rFonts w:asciiTheme="minorHAnsi" w:cstheme="minorBidi"/>
                                <w:color w:val="FFFFFF" w:themeColor="light1"/>
                                <w:kern w:val="24"/>
                                <w:sz w:val="16"/>
                                <w:szCs w:val="16"/>
                              </w:rPr>
                              <w:t>Interlayer spacing ~0.375 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24549" id="Rectangle: Rounded Corners 2" o:spid="_x0000_s1026" style="position:absolute;left:0;text-align:left;margin-left:359.75pt;margin-top:194.8pt;width:110.9pt;height:1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" fillcolor="red" stroked="f">
                <v:shadow on="t" color="black" opacity="41287f" offset="0,1.5pt"/>
                <v:textbox>
                  <w:txbxContent>
                    <w:p w14:paraId="213434D2" w14:textId="77777777" w:rsidR="000F6514" w:rsidRPr="00852138" w:rsidRDefault="000F6514" w:rsidP="000F6514">
                      <w:pPr>
                        <w:pStyle w:val="Default"/>
                        <w:textAlignment w:val="baseline"/>
                        <w:rPr>
                          <w:sz w:val="16"/>
                          <w:szCs w:val="16"/>
                        </w:rPr>
                      </w:pPr>
                      <w:r w:rsidRPr="00852138">
                        <w:rPr>
                          <w:rFonts w:asciiTheme="minorHAnsi" w:cstheme="minorBidi"/>
                          <w:color w:val="FFFFFF" w:themeColor="light1"/>
                          <w:kern w:val="24"/>
                          <w:sz w:val="16"/>
                          <w:szCs w:val="16"/>
                        </w:rPr>
                        <w:t>Interlayer spacing ~0.375 nm</w:t>
                      </w:r>
                    </w:p>
                  </w:txbxContent>
                </v:textbox>
                <w10:wrap anchorx="margin"/>
              </v:roundrect>
            </w:pict>
          </mc:Fallback>
        </mc:AlternateContent>
      </w:r>
      <w:r w:rsidRPr="000F6514">
        <w:rPr>
          <w:color w:val="auto"/>
          <w:sz w:val="22"/>
          <w:szCs w:val="22"/>
          <w:lang w:val="en-AU"/>
        </w:rPr>
        <w:t>The large-scale application of sodium ion (SIB) and potassium ion batteries (KIBs) is primarily limited by poor insertion capability of electrode materials resulting in limited charge storage capacities. It is critical to present alternative solutions towards more active electrode chemistries which can allow deep and fast reversible insertion of Na</w:t>
      </w:r>
      <w:r w:rsidRPr="000F6514">
        <w:rPr>
          <w:color w:val="auto"/>
          <w:sz w:val="22"/>
          <w:szCs w:val="22"/>
          <w:vertAlign w:val="superscript"/>
          <w:lang w:val="en-AU"/>
        </w:rPr>
        <w:t>+</w:t>
      </w:r>
      <w:r w:rsidRPr="000F6514">
        <w:rPr>
          <w:color w:val="auto"/>
          <w:sz w:val="22"/>
          <w:szCs w:val="22"/>
          <w:lang w:val="en-AU"/>
        </w:rPr>
        <w:t>/K</w:t>
      </w:r>
      <w:r w:rsidRPr="000F6514">
        <w:rPr>
          <w:color w:val="auto"/>
          <w:sz w:val="22"/>
          <w:szCs w:val="22"/>
          <w:vertAlign w:val="superscript"/>
          <w:lang w:val="en-AU"/>
        </w:rPr>
        <w:t>+</w:t>
      </w:r>
      <w:r w:rsidRPr="000F6514">
        <w:rPr>
          <w:color w:val="auto"/>
          <w:sz w:val="22"/>
          <w:szCs w:val="22"/>
          <w:lang w:val="en-AU"/>
        </w:rPr>
        <w:t xml:space="preserve"> ions. Carbon, being the most abundant and currently commercialized anode material in lithium ion batteries (LIBs), present ideal candidate for commercial SIBs/KIBs. However, the crystalline carbon nanostructures exhibit poor insertion capability of much larger Na</w:t>
      </w:r>
      <w:r w:rsidRPr="000F6514">
        <w:rPr>
          <w:color w:val="auto"/>
          <w:sz w:val="22"/>
          <w:szCs w:val="22"/>
          <w:vertAlign w:val="superscript"/>
          <w:lang w:val="en-AU"/>
        </w:rPr>
        <w:t>+</w:t>
      </w:r>
      <w:r w:rsidRPr="000F6514">
        <w:rPr>
          <w:color w:val="auto"/>
          <w:sz w:val="22"/>
          <w:szCs w:val="22"/>
          <w:lang w:val="en-AU"/>
        </w:rPr>
        <w:t>/K</w:t>
      </w:r>
      <w:r w:rsidRPr="000F6514">
        <w:rPr>
          <w:color w:val="auto"/>
          <w:sz w:val="22"/>
          <w:szCs w:val="22"/>
          <w:vertAlign w:val="superscript"/>
          <w:lang w:val="en-AU"/>
        </w:rPr>
        <w:t>+</w:t>
      </w:r>
      <w:r w:rsidRPr="000F6514">
        <w:rPr>
          <w:color w:val="auto"/>
          <w:sz w:val="22"/>
          <w:szCs w:val="22"/>
          <w:lang w:val="en-AU"/>
        </w:rPr>
        <w:t xml:space="preserve"> ions (Na storage capability of 35 </w:t>
      </w:r>
      <w:proofErr w:type="spellStart"/>
      <w:r w:rsidRPr="000F6514">
        <w:rPr>
          <w:color w:val="auto"/>
          <w:sz w:val="22"/>
          <w:szCs w:val="22"/>
          <w:lang w:val="en-AU"/>
        </w:rPr>
        <w:t>mAh</w:t>
      </w:r>
      <w:proofErr w:type="spellEnd"/>
      <w:r w:rsidRPr="000F6514">
        <w:rPr>
          <w:color w:val="auto"/>
          <w:sz w:val="22"/>
          <w:szCs w:val="22"/>
          <w:lang w:val="en-AU"/>
        </w:rPr>
        <w:t xml:space="preserve">/g in comparison to Li storage capability of 372 </w:t>
      </w:r>
      <w:proofErr w:type="spellStart"/>
      <w:r w:rsidRPr="000F6514">
        <w:rPr>
          <w:color w:val="auto"/>
          <w:sz w:val="22"/>
          <w:szCs w:val="22"/>
          <w:lang w:val="en-AU"/>
        </w:rPr>
        <w:t>mAh</w:t>
      </w:r>
      <w:proofErr w:type="spellEnd"/>
      <w:r w:rsidRPr="000F6514">
        <w:rPr>
          <w:color w:val="auto"/>
          <w:sz w:val="22"/>
          <w:szCs w:val="22"/>
          <w:lang w:val="en-AU"/>
        </w:rPr>
        <w:t>/g) which must be addressed to design highly efficient SIBs/KIBs. We have recently found that carbon materials with short-order gives better insertion of large metal ions such as Na</w:t>
      </w:r>
      <w:r w:rsidRPr="000F6514">
        <w:rPr>
          <w:color w:val="auto"/>
          <w:sz w:val="22"/>
          <w:szCs w:val="22"/>
          <w:vertAlign w:val="superscript"/>
          <w:lang w:val="en-AU"/>
        </w:rPr>
        <w:t>+</w:t>
      </w:r>
      <w:r w:rsidRPr="000F6514">
        <w:rPr>
          <w:color w:val="auto"/>
          <w:sz w:val="22"/>
          <w:szCs w:val="22"/>
          <w:lang w:val="en-AU"/>
        </w:rPr>
        <w:t>/K</w:t>
      </w:r>
      <w:r w:rsidRPr="000F6514">
        <w:rPr>
          <w:color w:val="auto"/>
          <w:sz w:val="22"/>
          <w:szCs w:val="22"/>
          <w:vertAlign w:val="superscript"/>
          <w:lang w:val="en-AU"/>
        </w:rPr>
        <w:t>+</w:t>
      </w:r>
      <w:r w:rsidRPr="000F6514">
        <w:rPr>
          <w:color w:val="auto"/>
          <w:sz w:val="22"/>
          <w:szCs w:val="22"/>
          <w:lang w:val="en-AU"/>
        </w:rPr>
        <w:t xml:space="preserve"> owing to the relaxed carbon interlayer spacing (~0.375 nm) in comparison to long range order where interlayer spacing is necessarily ~0.34 nm. </w:t>
      </w:r>
    </w:p>
    <w:p w14:paraId="39EA656A" w14:textId="5A1D431B" w:rsidR="000F6514" w:rsidRDefault="000F6514" w:rsidP="009A4CFF">
      <w:pPr>
        <w:pStyle w:val="Default"/>
        <w:ind w:left="284" w:right="282"/>
        <w:jc w:val="both"/>
        <w:rPr>
          <w:color w:val="auto"/>
          <w:sz w:val="22"/>
          <w:szCs w:val="22"/>
          <w:lang w:val="en-AU"/>
        </w:rPr>
      </w:pPr>
      <w:r w:rsidRPr="000F6514">
        <w:rPr>
          <w:noProof/>
          <w:color w:val="auto"/>
          <w:sz w:val="22"/>
          <w:szCs w:val="22"/>
          <w:lang w:val="en-AU"/>
        </w:rPr>
        <mc:AlternateContent>
          <mc:Choice Requires="wps">
            <w:drawing>
              <wp:anchor distT="0" distB="0" distL="114300" distR="114300" simplePos="0" relativeHeight="251663360" behindDoc="0" locked="0" layoutInCell="1" allowOverlap="1" wp14:anchorId="2F82125A" wp14:editId="79CC3F09">
                <wp:simplePos x="0" y="0"/>
                <wp:positionH relativeFrom="column">
                  <wp:posOffset>3126740</wp:posOffset>
                </wp:positionH>
                <wp:positionV relativeFrom="paragraph">
                  <wp:posOffset>257286</wp:posOffset>
                </wp:positionV>
                <wp:extent cx="1369060" cy="243205"/>
                <wp:effectExtent l="57150" t="38100" r="40640" b="80645"/>
                <wp:wrapNone/>
                <wp:docPr id="3" name="Rectangle: Rounded Corners 2">
                  <a:extLst xmlns:a="http://schemas.openxmlformats.org/drawingml/2006/main">
                    <a:ext uri="{FF2B5EF4-FFF2-40B4-BE49-F238E27FC236}">
                      <a16:creationId xmlns:a16="http://schemas.microsoft.com/office/drawing/2014/main" id="{27B419E1-0F40-4E16-A902-E013B9600A92}"/>
                    </a:ext>
                  </a:extLst>
                </wp:docPr>
                <wp:cNvGraphicFramePr/>
                <a:graphic xmlns:a="http://schemas.openxmlformats.org/drawingml/2006/main">
                  <a:graphicData uri="http://schemas.microsoft.com/office/word/2010/wordprocessingShape">
                    <wps:wsp>
                      <wps:cNvSpPr/>
                      <wps:spPr bwMode="auto">
                        <a:xfrm>
                          <a:off x="0" y="0"/>
                          <a:ext cx="1369060" cy="243205"/>
                        </a:xfrm>
                        <a:prstGeom prst="roundRect">
                          <a:avLst/>
                        </a:prstGeom>
                        <a:ln>
                          <a:headEnd type="none" w="med" len="med"/>
                          <a:tailEnd type="none" w="med" len="med"/>
                        </a:ln>
                        <a:extLst/>
                      </wps:spPr>
                      <wps:style>
                        <a:lnRef idx="0">
                          <a:schemeClr val="accent6"/>
                        </a:lnRef>
                        <a:fillRef idx="3">
                          <a:schemeClr val="accent6"/>
                        </a:fillRef>
                        <a:effectRef idx="3">
                          <a:schemeClr val="accent6"/>
                        </a:effectRef>
                        <a:fontRef idx="minor">
                          <a:schemeClr val="lt1"/>
                        </a:fontRef>
                      </wps:style>
                      <wps:txbx>
                        <w:txbxContent>
                          <w:p w14:paraId="1790330D" w14:textId="77777777" w:rsidR="000F6514" w:rsidRPr="00852138" w:rsidRDefault="000F6514" w:rsidP="000F6514">
                            <w:pPr>
                              <w:pStyle w:val="Default"/>
                              <w:textAlignment w:val="baseline"/>
                              <w:rPr>
                                <w:sz w:val="16"/>
                                <w:szCs w:val="16"/>
                              </w:rPr>
                            </w:pPr>
                            <w:r w:rsidRPr="00852138">
                              <w:rPr>
                                <w:rFonts w:asciiTheme="minorHAnsi" w:cstheme="minorBidi"/>
                                <w:color w:val="FFFFFF" w:themeColor="light1"/>
                                <w:kern w:val="24"/>
                                <w:sz w:val="16"/>
                                <w:szCs w:val="16"/>
                              </w:rPr>
                              <w:t>Interlayer spacing ~0.34 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2125A" id="_x0000_s1027" style="position:absolute;left:0;text-align:left;margin-left:246.2pt;margin-top:20.25pt;width:107.8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" fillcolor="#77b64e [3033]" stroked="f">
                <v:fill color2="#6eaa46 [3177]" rotate="t" colors="0 #81b861;.5 #6fb242;1 #61a235" focus="100%" type="gradient">
                  <o:fill v:ext="view" type="gradientUnscaled"/>
                </v:fill>
                <v:shadow on="t" color="black" opacity="41287f" offset="0,1.5pt"/>
                <v:textbox>
                  <w:txbxContent>
                    <w:p w14:paraId="1790330D" w14:textId="77777777" w:rsidR="000F6514" w:rsidRPr="00852138" w:rsidRDefault="000F6514" w:rsidP="000F6514">
                      <w:pPr>
                        <w:pStyle w:val="Default"/>
                        <w:textAlignment w:val="baseline"/>
                        <w:rPr>
                          <w:sz w:val="16"/>
                          <w:szCs w:val="16"/>
                        </w:rPr>
                      </w:pPr>
                      <w:r w:rsidRPr="00852138">
                        <w:rPr>
                          <w:rFonts w:asciiTheme="minorHAnsi" w:cstheme="minorBidi"/>
                          <w:color w:val="FFFFFF" w:themeColor="light1"/>
                          <w:kern w:val="24"/>
                          <w:sz w:val="16"/>
                          <w:szCs w:val="16"/>
                        </w:rPr>
                        <w:t>Interlayer spacing ~0.34 nm</w:t>
                      </w:r>
                    </w:p>
                  </w:txbxContent>
                </v:textbox>
              </v:roundrect>
            </w:pict>
          </mc:Fallback>
        </mc:AlternateContent>
      </w:r>
      <w:r w:rsidRPr="000574B1">
        <w:rPr>
          <w:rFonts w:cstheme="minorHAnsi"/>
          <w:bCs/>
          <w:noProof/>
        </w:rPr>
        <w:drawing>
          <wp:anchor distT="0" distB="0" distL="114300" distR="114300" simplePos="0" relativeHeight="251659264" behindDoc="1" locked="0" layoutInCell="1" allowOverlap="1" wp14:anchorId="3777F7B2" wp14:editId="1EC7893A">
            <wp:simplePos x="0" y="0"/>
            <wp:positionH relativeFrom="margin">
              <wp:posOffset>3096895</wp:posOffset>
            </wp:positionH>
            <wp:positionV relativeFrom="paragraph">
              <wp:posOffset>509270</wp:posOffset>
            </wp:positionV>
            <wp:extent cx="2834640" cy="1936750"/>
            <wp:effectExtent l="0" t="0" r="3810" b="6350"/>
            <wp:wrapTight wrapText="bothSides">
              <wp:wrapPolygon edited="0">
                <wp:start x="0" y="0"/>
                <wp:lineTo x="0" y="21458"/>
                <wp:lineTo x="21484" y="21458"/>
                <wp:lineTo x="21484" y="0"/>
                <wp:lineTo x="0" y="0"/>
              </wp:wrapPolygon>
            </wp:wrapTight>
            <wp:docPr id="15" name="Picture 14">
              <a:extLst xmlns:a="http://schemas.openxmlformats.org/drawingml/2006/main">
                <a:ext uri="{FF2B5EF4-FFF2-40B4-BE49-F238E27FC236}">
                  <a16:creationId xmlns:a16="http://schemas.microsoft.com/office/drawing/2014/main" id="{958BC240-73AB-467D-AEBA-AB720F1133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958BC240-73AB-467D-AEBA-AB720F11335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4640" cy="1936750"/>
                    </a:xfrm>
                    <a:prstGeom prst="rect">
                      <a:avLst/>
                    </a:prstGeom>
                  </pic:spPr>
                </pic:pic>
              </a:graphicData>
            </a:graphic>
            <wp14:sizeRelH relativeFrom="page">
              <wp14:pctWidth>0</wp14:pctWidth>
            </wp14:sizeRelH>
            <wp14:sizeRelV relativeFrom="page">
              <wp14:pctHeight>0</wp14:pctHeight>
            </wp14:sizeRelV>
          </wp:anchor>
        </w:drawing>
      </w:r>
      <w:r w:rsidRPr="000F6514">
        <w:rPr>
          <w:color w:val="auto"/>
          <w:sz w:val="22"/>
          <w:szCs w:val="22"/>
          <w:lang w:val="en-AU"/>
        </w:rPr>
        <w:t>We adopted a metal-organic framework (MOF) based methodology to derive hierarchically porous S and N co-doped thin carbon (</w:t>
      </w:r>
      <w:proofErr w:type="gramStart"/>
      <w:r w:rsidRPr="000F6514">
        <w:rPr>
          <w:color w:val="auto"/>
          <w:sz w:val="22"/>
          <w:szCs w:val="22"/>
          <w:lang w:val="en-AU"/>
        </w:rPr>
        <w:t>S,N</w:t>
      </w:r>
      <w:proofErr w:type="gramEnd"/>
      <w:r w:rsidRPr="000F6514">
        <w:rPr>
          <w:color w:val="auto"/>
          <w:sz w:val="22"/>
          <w:szCs w:val="22"/>
          <w:lang w:val="en-AU"/>
        </w:rPr>
        <w:t>@C) with shell-like (average shell size ~20-30 nm) morphology for enhanced Na</w:t>
      </w:r>
      <w:r w:rsidRPr="000F6514">
        <w:rPr>
          <w:color w:val="auto"/>
          <w:sz w:val="22"/>
          <w:szCs w:val="22"/>
          <w:vertAlign w:val="superscript"/>
          <w:lang w:val="en-AU"/>
        </w:rPr>
        <w:t>+</w:t>
      </w:r>
      <w:r w:rsidRPr="000F6514">
        <w:rPr>
          <w:color w:val="auto"/>
          <w:sz w:val="22"/>
          <w:szCs w:val="22"/>
          <w:lang w:val="en-AU"/>
        </w:rPr>
        <w:t>/K</w:t>
      </w:r>
      <w:r w:rsidRPr="000F6514">
        <w:rPr>
          <w:color w:val="auto"/>
          <w:sz w:val="22"/>
          <w:szCs w:val="22"/>
          <w:vertAlign w:val="superscript"/>
          <w:lang w:val="en-AU"/>
        </w:rPr>
        <w:t>+</w:t>
      </w:r>
      <w:r w:rsidRPr="000F6514">
        <w:rPr>
          <w:color w:val="auto"/>
          <w:sz w:val="22"/>
          <w:szCs w:val="22"/>
          <w:lang w:val="en-AU"/>
        </w:rPr>
        <w:t xml:space="preserve"> storage. The hierarchically porous carbon shells exhibited an average wall thickness of ~8-10 nm with an interlayer spacing of ~0.375 nm. Taking benefit from larger interlayer spacing, hollow shell-like structure and thin shell-wall, the </w:t>
      </w:r>
      <w:proofErr w:type="gramStart"/>
      <w:r w:rsidRPr="000F6514">
        <w:rPr>
          <w:color w:val="auto"/>
          <w:sz w:val="22"/>
          <w:szCs w:val="22"/>
          <w:lang w:val="en-AU"/>
        </w:rPr>
        <w:t>S,N</w:t>
      </w:r>
      <w:proofErr w:type="gramEnd"/>
      <w:r w:rsidRPr="000F6514">
        <w:rPr>
          <w:color w:val="auto"/>
          <w:sz w:val="22"/>
          <w:szCs w:val="22"/>
          <w:lang w:val="en-AU"/>
        </w:rPr>
        <w:t>@C exhibited excellent Na</w:t>
      </w:r>
      <w:r w:rsidRPr="000F6514">
        <w:rPr>
          <w:color w:val="auto"/>
          <w:sz w:val="22"/>
          <w:szCs w:val="22"/>
          <w:vertAlign w:val="superscript"/>
          <w:lang w:val="en-AU"/>
        </w:rPr>
        <w:t>+</w:t>
      </w:r>
      <w:r w:rsidRPr="000F6514">
        <w:rPr>
          <w:color w:val="auto"/>
          <w:sz w:val="22"/>
          <w:szCs w:val="22"/>
          <w:lang w:val="en-AU"/>
        </w:rPr>
        <w:t>/K</w:t>
      </w:r>
      <w:r w:rsidRPr="000F6514">
        <w:rPr>
          <w:color w:val="auto"/>
          <w:sz w:val="22"/>
          <w:szCs w:val="22"/>
          <w:vertAlign w:val="superscript"/>
          <w:lang w:val="en-AU"/>
        </w:rPr>
        <w:t>+</w:t>
      </w:r>
      <w:r w:rsidRPr="000F6514">
        <w:rPr>
          <w:color w:val="auto"/>
          <w:sz w:val="22"/>
          <w:szCs w:val="22"/>
          <w:lang w:val="en-AU"/>
        </w:rPr>
        <w:t xml:space="preserve"> storage capability without structural degradation with faster mass transport at higher discharge rates. Owing to these advantages, the S,N@C delivered high Na storage capacity of 448 </w:t>
      </w:r>
      <w:proofErr w:type="spellStart"/>
      <w:r w:rsidRPr="000F6514">
        <w:rPr>
          <w:color w:val="auto"/>
          <w:sz w:val="22"/>
          <w:szCs w:val="22"/>
          <w:lang w:val="en-AU"/>
        </w:rPr>
        <w:t>mAh</w:t>
      </w:r>
      <w:proofErr w:type="spellEnd"/>
      <w:r w:rsidRPr="000F6514">
        <w:rPr>
          <w:color w:val="auto"/>
          <w:sz w:val="22"/>
          <w:szCs w:val="22"/>
          <w:lang w:val="en-AU"/>
        </w:rPr>
        <w:t xml:space="preserve">/g at 100 mA/g and maintained discharge capacity up to 337 </w:t>
      </w:r>
      <w:proofErr w:type="spellStart"/>
      <w:r w:rsidRPr="000F6514">
        <w:rPr>
          <w:color w:val="auto"/>
          <w:sz w:val="22"/>
          <w:szCs w:val="22"/>
          <w:lang w:val="en-AU"/>
        </w:rPr>
        <w:t>mAh</w:t>
      </w:r>
      <w:proofErr w:type="spellEnd"/>
      <w:r w:rsidRPr="000F6514">
        <w:rPr>
          <w:color w:val="auto"/>
          <w:sz w:val="22"/>
          <w:szCs w:val="22"/>
          <w:lang w:val="en-AU"/>
        </w:rPr>
        <w:t xml:space="preserve">/g at discharge rate of 1000 mA/g. Owing to shortened diffusion pathways, the S,N@C delivered an unprecedented value of 204 </w:t>
      </w:r>
      <w:proofErr w:type="spellStart"/>
      <w:r w:rsidRPr="000F6514">
        <w:rPr>
          <w:color w:val="auto"/>
          <w:sz w:val="22"/>
          <w:szCs w:val="22"/>
          <w:lang w:val="en-AU"/>
        </w:rPr>
        <w:t>mAh</w:t>
      </w:r>
      <w:proofErr w:type="spellEnd"/>
      <w:r w:rsidRPr="000F6514">
        <w:rPr>
          <w:color w:val="auto"/>
          <w:sz w:val="22"/>
          <w:szCs w:val="22"/>
          <w:lang w:val="en-AU"/>
        </w:rPr>
        <w:t xml:space="preserve">/g and 169 </w:t>
      </w:r>
      <w:proofErr w:type="spellStart"/>
      <w:r w:rsidRPr="000F6514">
        <w:rPr>
          <w:color w:val="auto"/>
          <w:sz w:val="22"/>
          <w:szCs w:val="22"/>
          <w:lang w:val="en-AU"/>
        </w:rPr>
        <w:t>mAh</w:t>
      </w:r>
      <w:proofErr w:type="spellEnd"/>
      <w:r w:rsidRPr="000F6514">
        <w:rPr>
          <w:color w:val="auto"/>
          <w:sz w:val="22"/>
          <w:szCs w:val="22"/>
          <w:lang w:val="en-AU"/>
        </w:rPr>
        <w:t>/g at discharge rate of 16000 mA/g and 32000 mA/g respectively, with excellent reversible capacity for much longer cyclic life (~4500 cycles). In addition to excellent Na</w:t>
      </w:r>
      <w:r w:rsidRPr="000F6514">
        <w:rPr>
          <w:color w:val="auto"/>
          <w:sz w:val="22"/>
          <w:szCs w:val="22"/>
          <w:vertAlign w:val="superscript"/>
          <w:lang w:val="en-AU"/>
        </w:rPr>
        <w:t>+</w:t>
      </w:r>
      <w:r w:rsidRPr="000F6514">
        <w:rPr>
          <w:color w:val="auto"/>
          <w:sz w:val="22"/>
          <w:szCs w:val="22"/>
          <w:lang w:val="en-AU"/>
        </w:rPr>
        <w:t xml:space="preserve"> storage capability, the </w:t>
      </w:r>
      <w:proofErr w:type="gramStart"/>
      <w:r w:rsidRPr="000F6514">
        <w:rPr>
          <w:color w:val="auto"/>
          <w:sz w:val="22"/>
          <w:szCs w:val="22"/>
          <w:lang w:val="en-AU"/>
        </w:rPr>
        <w:t>S,N</w:t>
      </w:r>
      <w:proofErr w:type="gramEnd"/>
      <w:r w:rsidRPr="000F6514">
        <w:rPr>
          <w:color w:val="auto"/>
          <w:sz w:val="22"/>
          <w:szCs w:val="22"/>
          <w:lang w:val="en-AU"/>
        </w:rPr>
        <w:t>@C exhibited high K</w:t>
      </w:r>
      <w:r w:rsidRPr="000F6514">
        <w:rPr>
          <w:color w:val="auto"/>
          <w:sz w:val="22"/>
          <w:szCs w:val="22"/>
          <w:vertAlign w:val="superscript"/>
          <w:lang w:val="en-AU"/>
        </w:rPr>
        <w:t>+</w:t>
      </w:r>
      <w:r w:rsidRPr="000F6514">
        <w:rPr>
          <w:color w:val="auto"/>
          <w:sz w:val="22"/>
          <w:szCs w:val="22"/>
          <w:lang w:val="en-AU"/>
        </w:rPr>
        <w:t xml:space="preserve"> storage capability with reversible storage capability of 252.8 </w:t>
      </w:r>
      <w:proofErr w:type="spellStart"/>
      <w:r w:rsidRPr="000F6514">
        <w:rPr>
          <w:color w:val="auto"/>
          <w:sz w:val="22"/>
          <w:szCs w:val="22"/>
          <w:lang w:val="en-AU"/>
        </w:rPr>
        <w:t>mAh</w:t>
      </w:r>
      <w:proofErr w:type="spellEnd"/>
      <w:r w:rsidRPr="000F6514">
        <w:rPr>
          <w:color w:val="auto"/>
          <w:sz w:val="22"/>
          <w:szCs w:val="22"/>
          <w:lang w:val="en-AU"/>
        </w:rPr>
        <w:t>/g at current density of 1</w:t>
      </w:r>
      <w:r>
        <w:rPr>
          <w:color w:val="auto"/>
          <w:sz w:val="22"/>
          <w:szCs w:val="22"/>
          <w:lang w:val="en-AU"/>
        </w:rPr>
        <w:t>000</w:t>
      </w:r>
      <w:r w:rsidRPr="000F6514">
        <w:rPr>
          <w:color w:val="auto"/>
          <w:sz w:val="22"/>
          <w:szCs w:val="22"/>
          <w:lang w:val="en-AU"/>
        </w:rPr>
        <w:t xml:space="preserve"> </w:t>
      </w:r>
      <w:r>
        <w:rPr>
          <w:color w:val="auto"/>
          <w:sz w:val="22"/>
          <w:szCs w:val="22"/>
          <w:lang w:val="en-AU"/>
        </w:rPr>
        <w:t>m</w:t>
      </w:r>
      <w:r w:rsidRPr="000F6514">
        <w:rPr>
          <w:color w:val="auto"/>
          <w:sz w:val="22"/>
          <w:szCs w:val="22"/>
          <w:lang w:val="en-AU"/>
        </w:rPr>
        <w:t xml:space="preserve">A/g after 80 cycles. The post-electrochemical tests revealed excellent structural stability without any visible agglomeration for rationally designed materials while </w:t>
      </w:r>
      <w:r>
        <w:rPr>
          <w:color w:val="auto"/>
          <w:sz w:val="22"/>
          <w:szCs w:val="22"/>
          <w:lang w:val="en-AU"/>
        </w:rPr>
        <w:t xml:space="preserve">control </w:t>
      </w:r>
      <w:r w:rsidRPr="000F6514">
        <w:rPr>
          <w:color w:val="auto"/>
          <w:sz w:val="22"/>
          <w:szCs w:val="22"/>
          <w:lang w:val="en-AU"/>
        </w:rPr>
        <w:t xml:space="preserve">carbon </w:t>
      </w:r>
      <w:r>
        <w:rPr>
          <w:color w:val="auto"/>
          <w:sz w:val="22"/>
          <w:szCs w:val="22"/>
          <w:lang w:val="en-AU"/>
        </w:rPr>
        <w:t xml:space="preserve">samples </w:t>
      </w:r>
      <w:r w:rsidRPr="000F6514">
        <w:rPr>
          <w:color w:val="auto"/>
          <w:sz w:val="22"/>
          <w:szCs w:val="22"/>
          <w:lang w:val="en-AU"/>
        </w:rPr>
        <w:t>in comparison exhibited increased rolling of carbon sheets upon reversible charge storage. The post-electrochemical RAMAN analysis revealed a slight red shift after cycling with Na</w:t>
      </w:r>
      <w:r w:rsidRPr="000F6514">
        <w:rPr>
          <w:color w:val="auto"/>
          <w:sz w:val="22"/>
          <w:szCs w:val="22"/>
          <w:vertAlign w:val="superscript"/>
          <w:lang w:val="en-AU"/>
        </w:rPr>
        <w:t>+</w:t>
      </w:r>
      <w:r w:rsidRPr="000F6514">
        <w:rPr>
          <w:color w:val="auto"/>
          <w:sz w:val="22"/>
          <w:szCs w:val="22"/>
          <w:lang w:val="en-AU"/>
        </w:rPr>
        <w:t>/K</w:t>
      </w:r>
      <w:r w:rsidRPr="000F6514">
        <w:rPr>
          <w:color w:val="auto"/>
          <w:sz w:val="22"/>
          <w:szCs w:val="22"/>
          <w:vertAlign w:val="superscript"/>
          <w:lang w:val="en-AU"/>
        </w:rPr>
        <w:t>+</w:t>
      </w:r>
      <w:r w:rsidRPr="000F6514">
        <w:rPr>
          <w:color w:val="auto"/>
          <w:sz w:val="22"/>
          <w:szCs w:val="22"/>
          <w:lang w:val="en-AU"/>
        </w:rPr>
        <w:t xml:space="preserve"> ions indicating slight expansion of carbon lattice upon reversible cycling signifying the possibility of relaxation in thin carbon lattice. The methodology </w:t>
      </w:r>
      <w:r w:rsidR="00FC50C3">
        <w:rPr>
          <w:color w:val="auto"/>
          <w:sz w:val="22"/>
          <w:szCs w:val="22"/>
          <w:lang w:val="en-AU"/>
        </w:rPr>
        <w:t xml:space="preserve">paves ways for using </w:t>
      </w:r>
      <w:r w:rsidRPr="000F6514">
        <w:rPr>
          <w:color w:val="auto"/>
          <w:sz w:val="22"/>
          <w:szCs w:val="22"/>
          <w:lang w:val="en-AU"/>
        </w:rPr>
        <w:t xml:space="preserve">carbon as electrode in </w:t>
      </w:r>
      <w:r>
        <w:rPr>
          <w:color w:val="auto"/>
          <w:sz w:val="22"/>
          <w:szCs w:val="22"/>
          <w:lang w:val="en-AU"/>
        </w:rPr>
        <w:t>SIBs</w:t>
      </w:r>
      <w:r w:rsidRPr="000F6514">
        <w:rPr>
          <w:color w:val="auto"/>
          <w:sz w:val="22"/>
          <w:szCs w:val="22"/>
          <w:lang w:val="en-AU"/>
        </w:rPr>
        <w:t>/</w:t>
      </w:r>
      <w:r>
        <w:rPr>
          <w:color w:val="auto"/>
          <w:sz w:val="22"/>
          <w:szCs w:val="22"/>
          <w:lang w:val="en-AU"/>
        </w:rPr>
        <w:t>KIBs</w:t>
      </w:r>
      <w:r w:rsidRPr="000F6514">
        <w:rPr>
          <w:color w:val="auto"/>
          <w:sz w:val="22"/>
          <w:szCs w:val="22"/>
          <w:lang w:val="en-AU"/>
        </w:rPr>
        <w:t>.</w:t>
      </w: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2ED8A0A8" w14:textId="492F8482" w:rsidR="000F6514" w:rsidRPr="000F6514" w:rsidRDefault="000F6514" w:rsidP="000F6514">
      <w:pPr>
        <w:numPr>
          <w:ilvl w:val="0"/>
          <w:numId w:val="1"/>
        </w:numPr>
        <w:shd w:val="clear" w:color="auto" w:fill="FFFFFF"/>
        <w:ind w:right="282"/>
        <w:jc w:val="both"/>
        <w:textAlignment w:val="top"/>
        <w:rPr>
          <w:rFonts w:asciiTheme="minorHAnsi" w:hAnsiTheme="minorHAnsi" w:cstheme="minorHAnsi"/>
          <w:sz w:val="22"/>
          <w:szCs w:val="22"/>
          <w:lang w:eastAsia="en-AU"/>
        </w:rPr>
      </w:pPr>
      <w:r w:rsidRPr="000F6514">
        <w:rPr>
          <w:rFonts w:asciiTheme="minorHAnsi" w:hAnsiTheme="minorHAnsi" w:cstheme="minorHAnsi"/>
          <w:sz w:val="22"/>
          <w:szCs w:val="22"/>
          <w:lang w:eastAsia="en-AU"/>
        </w:rPr>
        <w:t>A. Mahmood, &amp; Y. Zhao (2019)</w:t>
      </w:r>
      <w:r>
        <w:rPr>
          <w:rFonts w:asciiTheme="minorHAnsi" w:hAnsiTheme="minorHAnsi" w:cstheme="minorHAnsi"/>
          <w:sz w:val="22"/>
          <w:szCs w:val="22"/>
          <w:lang w:eastAsia="en-AU"/>
        </w:rPr>
        <w:t>,</w:t>
      </w:r>
      <w:r w:rsidRPr="000F6514">
        <w:rPr>
          <w:rFonts w:asciiTheme="minorHAnsi" w:hAnsiTheme="minorHAnsi" w:cstheme="minorHAnsi"/>
          <w:sz w:val="22"/>
          <w:szCs w:val="22"/>
          <w:lang w:eastAsia="en-AU"/>
        </w:rPr>
        <w:t xml:space="preserve"> Adv. Mater., 31, 1805430 </w:t>
      </w:r>
    </w:p>
    <w:p w14:paraId="47981AE2" w14:textId="3EFB5E32" w:rsidR="000F6514" w:rsidRPr="000F6514" w:rsidRDefault="000F6514" w:rsidP="000F6514">
      <w:pPr>
        <w:numPr>
          <w:ilvl w:val="0"/>
          <w:numId w:val="1"/>
        </w:numPr>
        <w:shd w:val="clear" w:color="auto" w:fill="FFFFFF"/>
        <w:ind w:right="282"/>
        <w:jc w:val="both"/>
        <w:textAlignment w:val="top"/>
        <w:rPr>
          <w:rFonts w:asciiTheme="minorHAnsi" w:hAnsiTheme="minorHAnsi" w:cstheme="minorHAnsi"/>
          <w:sz w:val="22"/>
          <w:szCs w:val="22"/>
          <w:lang w:eastAsia="en-AU"/>
        </w:rPr>
      </w:pPr>
      <w:r w:rsidRPr="000F6514">
        <w:rPr>
          <w:rFonts w:asciiTheme="minorHAnsi" w:hAnsiTheme="minorHAnsi" w:cstheme="minorHAnsi"/>
          <w:sz w:val="22"/>
          <w:szCs w:val="22"/>
          <w:lang w:eastAsia="en-AU"/>
        </w:rPr>
        <w:t>A. Mahmood, &amp; R. Zou (2018)</w:t>
      </w:r>
      <w:r>
        <w:rPr>
          <w:rFonts w:asciiTheme="minorHAnsi" w:hAnsiTheme="minorHAnsi" w:cstheme="minorHAnsi"/>
          <w:sz w:val="22"/>
          <w:szCs w:val="22"/>
          <w:lang w:eastAsia="en-AU"/>
        </w:rPr>
        <w:t>,</w:t>
      </w:r>
      <w:r w:rsidRPr="000F6514">
        <w:rPr>
          <w:rFonts w:asciiTheme="minorHAnsi" w:hAnsiTheme="minorHAnsi" w:cstheme="minorHAnsi"/>
          <w:sz w:val="22"/>
          <w:szCs w:val="22"/>
          <w:lang w:eastAsia="en-AU"/>
        </w:rPr>
        <w:t xml:space="preserve"> Small, 14, 1803500 </w:t>
      </w:r>
    </w:p>
    <w:p w14:paraId="314C1F60" w14:textId="20521D64" w:rsidR="000F6514" w:rsidRPr="000F6514" w:rsidRDefault="000F6514" w:rsidP="000F6514">
      <w:pPr>
        <w:numPr>
          <w:ilvl w:val="0"/>
          <w:numId w:val="1"/>
        </w:numPr>
        <w:shd w:val="clear" w:color="auto" w:fill="FFFFFF"/>
        <w:ind w:right="282"/>
        <w:jc w:val="both"/>
        <w:textAlignment w:val="top"/>
        <w:rPr>
          <w:rFonts w:asciiTheme="minorHAnsi" w:hAnsiTheme="minorHAnsi" w:cstheme="minorHAnsi"/>
          <w:sz w:val="22"/>
          <w:szCs w:val="22"/>
          <w:lang w:eastAsia="en-AU"/>
        </w:rPr>
      </w:pPr>
      <w:r w:rsidRPr="000F6514">
        <w:rPr>
          <w:rFonts w:asciiTheme="minorHAnsi" w:hAnsiTheme="minorHAnsi" w:cstheme="minorHAnsi"/>
          <w:sz w:val="22"/>
          <w:szCs w:val="22"/>
          <w:lang w:eastAsia="en-AU"/>
        </w:rPr>
        <w:t>X. Jian, A. Mahmood, N. Mahmood (2019), Chem. Eng. J. 364, 578-588</w:t>
      </w:r>
    </w:p>
    <w:p w14:paraId="505C8675" w14:textId="710A65EC" w:rsidR="000F6514" w:rsidRPr="000F6514" w:rsidRDefault="000F6514" w:rsidP="000F6514">
      <w:pPr>
        <w:numPr>
          <w:ilvl w:val="0"/>
          <w:numId w:val="1"/>
        </w:numPr>
        <w:shd w:val="clear" w:color="auto" w:fill="FFFFFF"/>
        <w:ind w:right="282"/>
        <w:jc w:val="both"/>
        <w:textAlignment w:val="top"/>
        <w:rPr>
          <w:rFonts w:asciiTheme="minorHAnsi" w:hAnsiTheme="minorHAnsi" w:cstheme="minorHAnsi"/>
          <w:sz w:val="22"/>
          <w:szCs w:val="22"/>
          <w:lang w:eastAsia="en-AU"/>
        </w:rPr>
      </w:pPr>
      <w:r w:rsidRPr="000F6514">
        <w:rPr>
          <w:rFonts w:asciiTheme="minorHAnsi" w:hAnsiTheme="minorHAnsi" w:cstheme="minorHAnsi"/>
          <w:sz w:val="22"/>
          <w:szCs w:val="22"/>
          <w:lang w:eastAsia="en-AU"/>
        </w:rPr>
        <w:t>H. Tabassum, R. Zou</w:t>
      </w:r>
      <w:r>
        <w:rPr>
          <w:rFonts w:asciiTheme="minorHAnsi" w:hAnsiTheme="minorHAnsi" w:cstheme="minorHAnsi"/>
          <w:sz w:val="22"/>
          <w:szCs w:val="22"/>
          <w:lang w:eastAsia="en-AU"/>
        </w:rPr>
        <w:t>,</w:t>
      </w:r>
      <w:r w:rsidRPr="000F6514">
        <w:rPr>
          <w:rFonts w:asciiTheme="minorHAnsi" w:hAnsiTheme="minorHAnsi" w:cstheme="minorHAnsi"/>
          <w:sz w:val="22"/>
          <w:szCs w:val="22"/>
          <w:lang w:eastAsia="en-AU"/>
        </w:rPr>
        <w:t xml:space="preserve"> A. Mahmood, (2018), Adv. Mater., 30, 1705441. Link </w:t>
      </w:r>
    </w:p>
    <w:sectPr w:rsidR="000F6514" w:rsidRPr="000F6514"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0D149F"/>
    <w:rsid w:val="000F6514"/>
    <w:rsid w:val="00181963"/>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F12F3"/>
    <w:rsid w:val="00F13406"/>
    <w:rsid w:val="00F26BBE"/>
    <w:rsid w:val="00F5475C"/>
    <w:rsid w:val="00F97620"/>
    <w:rsid w:val="00FC5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3348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Asif Mahmood</cp:lastModifiedBy>
  <cp:revision>5</cp:revision>
  <cp:lastPrinted>2019-08-31T07:59:00Z</cp:lastPrinted>
  <dcterms:created xsi:type="dcterms:W3CDTF">2019-08-31T07:57:00Z</dcterms:created>
  <dcterms:modified xsi:type="dcterms:W3CDTF">2019-09-02T02:30:00Z</dcterms:modified>
</cp:coreProperties>
</file>