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E915" w14:textId="0575A529" w:rsidR="00711813" w:rsidRPr="004E5450" w:rsidRDefault="007C0B28" w:rsidP="00711813">
      <w:pPr>
        <w:jc w:val="both"/>
        <w:rPr>
          <w:rFonts w:ascii="Calibri" w:hAnsi="Calibri" w:cs="Calibri"/>
          <w:b/>
          <w:sz w:val="20"/>
          <w:szCs w:val="20"/>
          <w:lang w:val="en-AU"/>
        </w:rPr>
      </w:pPr>
      <w:r w:rsidRPr="007C0B28">
        <w:rPr>
          <w:rFonts w:ascii="Calibri" w:hAnsi="Calibri" w:cs="Calibri"/>
          <w:b/>
          <w:sz w:val="20"/>
          <w:szCs w:val="20"/>
          <w:lang w:val="en-AU"/>
        </w:rPr>
        <w:t>Effect of Renin-Angiotensin System Inhibition on Residual Kidney Function in Peritoneal Dialysis</w:t>
      </w:r>
    </w:p>
    <w:p w14:paraId="66A588E4" w14:textId="4126A781" w:rsidR="00711813" w:rsidRPr="004E5450" w:rsidRDefault="007C0B28" w:rsidP="00711813">
      <w:pPr>
        <w:jc w:val="both"/>
        <w:rPr>
          <w:rFonts w:ascii="Calibri" w:hAnsi="Calibri" w:cs="Calibri"/>
          <w:sz w:val="20"/>
          <w:szCs w:val="20"/>
          <w:lang w:val="en-AU"/>
        </w:rPr>
      </w:pPr>
      <w:r w:rsidRPr="007C0B28">
        <w:rPr>
          <w:rFonts w:ascii="Calibri" w:hAnsi="Calibri" w:cs="Calibri"/>
          <w:sz w:val="20"/>
          <w:szCs w:val="20"/>
          <w:lang w:val="en-AU"/>
        </w:rPr>
        <w:t>Jing Xin Goh</w:t>
      </w:r>
      <w:r w:rsidRPr="007C0B28">
        <w:rPr>
          <w:rFonts w:ascii="Calibri" w:hAnsi="Calibri" w:cs="Calibri"/>
          <w:sz w:val="20"/>
          <w:szCs w:val="20"/>
          <w:vertAlign w:val="superscript"/>
          <w:lang w:val="en-AU"/>
        </w:rPr>
        <w:t>1</w:t>
      </w:r>
      <w:r w:rsidRPr="007C0B28">
        <w:rPr>
          <w:rFonts w:ascii="Calibri" w:hAnsi="Calibri" w:cs="Calibri"/>
          <w:sz w:val="20"/>
          <w:szCs w:val="20"/>
          <w:lang w:val="en-AU"/>
        </w:rPr>
        <w:t>, Kamal Sud</w:t>
      </w:r>
      <w:r w:rsidRPr="007C0B28">
        <w:rPr>
          <w:rFonts w:ascii="Calibri" w:hAnsi="Calibri" w:cs="Calibri"/>
          <w:sz w:val="20"/>
          <w:szCs w:val="20"/>
          <w:vertAlign w:val="superscript"/>
          <w:lang w:val="en-AU"/>
        </w:rPr>
        <w:t>2,3</w:t>
      </w:r>
      <w:r w:rsidRPr="007C0B28">
        <w:rPr>
          <w:rFonts w:ascii="Calibri" w:hAnsi="Calibri" w:cs="Calibri"/>
          <w:sz w:val="20"/>
          <w:szCs w:val="20"/>
          <w:lang w:val="en-AU"/>
        </w:rPr>
        <w:t>, Surjit Tarafdar</w:t>
      </w:r>
      <w:r w:rsidRPr="007C0B28">
        <w:rPr>
          <w:rFonts w:ascii="Calibri" w:hAnsi="Calibri" w:cs="Calibri"/>
          <w:sz w:val="20"/>
          <w:szCs w:val="20"/>
          <w:vertAlign w:val="superscript"/>
          <w:lang w:val="en-AU"/>
        </w:rPr>
        <w:t>4,5</w:t>
      </w:r>
      <w:r w:rsidRPr="007C0B28">
        <w:rPr>
          <w:rFonts w:ascii="Calibri" w:hAnsi="Calibri" w:cs="Calibri"/>
          <w:sz w:val="20"/>
          <w:szCs w:val="20"/>
          <w:lang w:val="en-AU"/>
        </w:rPr>
        <w:t>, Elvira D’Souza</w:t>
      </w:r>
      <w:r w:rsidRPr="007C0B28">
        <w:rPr>
          <w:rFonts w:ascii="Calibri" w:hAnsi="Calibri" w:cs="Calibri"/>
          <w:sz w:val="20"/>
          <w:szCs w:val="20"/>
          <w:vertAlign w:val="superscript"/>
          <w:lang w:val="en-AU"/>
        </w:rPr>
        <w:t>1</w:t>
      </w:r>
      <w:r w:rsidRPr="007C0B28">
        <w:rPr>
          <w:rFonts w:ascii="Calibri" w:hAnsi="Calibri" w:cs="Calibri"/>
          <w:sz w:val="20"/>
          <w:szCs w:val="20"/>
          <w:lang w:val="en-AU"/>
        </w:rPr>
        <w:t>, Nazim Bhimani</w:t>
      </w:r>
      <w:r w:rsidRPr="007C0B28">
        <w:rPr>
          <w:rFonts w:ascii="Calibri" w:hAnsi="Calibri" w:cs="Calibri"/>
          <w:sz w:val="20"/>
          <w:szCs w:val="20"/>
          <w:vertAlign w:val="superscript"/>
          <w:lang w:val="en-AU"/>
        </w:rPr>
        <w:t>2</w:t>
      </w:r>
      <w:r w:rsidRPr="007C0B28">
        <w:rPr>
          <w:rFonts w:ascii="Calibri" w:hAnsi="Calibri" w:cs="Calibri"/>
          <w:sz w:val="20"/>
          <w:szCs w:val="20"/>
          <w:lang w:val="en-AU"/>
        </w:rPr>
        <w:t>, Ronald L Castelino</w:t>
      </w:r>
      <w:r w:rsidRPr="007C0B28">
        <w:rPr>
          <w:rFonts w:ascii="Calibri" w:hAnsi="Calibri" w:cs="Calibri"/>
          <w:sz w:val="20"/>
          <w:szCs w:val="20"/>
          <w:vertAlign w:val="superscript"/>
          <w:lang w:val="en-AU"/>
        </w:rPr>
        <w:t>1,</w:t>
      </w:r>
      <w:r>
        <w:rPr>
          <w:rFonts w:ascii="Calibri" w:hAnsi="Calibri" w:cs="Calibri"/>
          <w:sz w:val="20"/>
          <w:szCs w:val="20"/>
          <w:vertAlign w:val="superscript"/>
          <w:lang w:val="en-AU"/>
        </w:rPr>
        <w:t>6</w:t>
      </w:r>
      <w:r>
        <w:rPr>
          <w:rFonts w:ascii="Calibri" w:hAnsi="Calibri" w:cs="Calibri"/>
          <w:sz w:val="20"/>
          <w:szCs w:val="20"/>
          <w:lang w:val="en-AU"/>
        </w:rPr>
        <w:t>.</w:t>
      </w:r>
      <w:r w:rsidR="00711813" w:rsidRPr="004E5450">
        <w:rPr>
          <w:rFonts w:ascii="Calibri" w:hAnsi="Calibri" w:cs="Calibri"/>
          <w:sz w:val="20"/>
          <w:szCs w:val="20"/>
          <w:lang w:val="en-AU"/>
        </w:rPr>
        <w:t xml:space="preserve"> </w:t>
      </w:r>
      <w:r w:rsidRPr="007C0B28">
        <w:rPr>
          <w:rFonts w:ascii="Calibri" w:hAnsi="Calibri" w:cs="Calibri"/>
          <w:sz w:val="20"/>
          <w:szCs w:val="20"/>
          <w:lang w:val="en-AU"/>
        </w:rPr>
        <w:t>School of Pharmacy, Faculty of Medicine and Health,</w:t>
      </w:r>
      <w:r>
        <w:rPr>
          <w:rFonts w:ascii="Calibri" w:hAnsi="Calibri" w:cs="Calibri"/>
          <w:sz w:val="20"/>
          <w:szCs w:val="20"/>
          <w:lang w:val="en-AU"/>
        </w:rPr>
        <w:t xml:space="preserve"> </w:t>
      </w:r>
      <w:r w:rsidRPr="007C0B28">
        <w:rPr>
          <w:rFonts w:ascii="Calibri" w:hAnsi="Calibri" w:cs="Calibri"/>
          <w:sz w:val="20"/>
          <w:szCs w:val="20"/>
          <w:lang w:val="en-AU"/>
        </w:rPr>
        <w:t>University of Sydney</w:t>
      </w:r>
      <w:r>
        <w:rPr>
          <w:rFonts w:ascii="Calibri" w:hAnsi="Calibri" w:cs="Calibri"/>
          <w:sz w:val="20"/>
          <w:szCs w:val="20"/>
          <w:vertAlign w:val="superscript"/>
          <w:lang w:val="en-AU"/>
        </w:rPr>
        <w:t>1</w:t>
      </w:r>
      <w:r w:rsidRPr="007C0B28">
        <w:rPr>
          <w:rFonts w:ascii="Calibri" w:hAnsi="Calibri" w:cs="Calibri"/>
          <w:sz w:val="20"/>
          <w:szCs w:val="20"/>
          <w:lang w:val="en-AU"/>
        </w:rPr>
        <w:t>, Sydney, NSW</w:t>
      </w:r>
      <w:r>
        <w:rPr>
          <w:rFonts w:ascii="Calibri" w:hAnsi="Calibri" w:cs="Calibri"/>
          <w:sz w:val="20"/>
          <w:szCs w:val="20"/>
          <w:lang w:val="en-AU"/>
        </w:rPr>
        <w:t xml:space="preserve">; </w:t>
      </w:r>
      <w:r w:rsidRPr="007C0B28">
        <w:rPr>
          <w:rFonts w:ascii="Calibri" w:hAnsi="Calibri" w:cs="Calibri"/>
          <w:sz w:val="20"/>
          <w:szCs w:val="20"/>
          <w:lang w:val="en-AU"/>
        </w:rPr>
        <w:t>Sydney Medical School, Faculty of Medicine and Health, University of Sydney</w:t>
      </w:r>
      <w:r>
        <w:rPr>
          <w:rFonts w:ascii="Calibri" w:hAnsi="Calibri" w:cs="Calibri"/>
          <w:sz w:val="20"/>
          <w:szCs w:val="20"/>
          <w:vertAlign w:val="superscript"/>
          <w:lang w:val="en-AU"/>
        </w:rPr>
        <w:t>2</w:t>
      </w:r>
      <w:r w:rsidRPr="007C0B28">
        <w:rPr>
          <w:rFonts w:ascii="Calibri" w:hAnsi="Calibri" w:cs="Calibri"/>
          <w:sz w:val="20"/>
          <w:szCs w:val="20"/>
          <w:lang w:val="en-AU"/>
        </w:rPr>
        <w:t>, Sydney, NSW</w:t>
      </w:r>
      <w:r>
        <w:rPr>
          <w:rFonts w:ascii="Calibri" w:hAnsi="Calibri" w:cs="Calibri"/>
          <w:sz w:val="20"/>
          <w:szCs w:val="20"/>
          <w:lang w:val="en-AU"/>
        </w:rPr>
        <w:t xml:space="preserve">; </w:t>
      </w:r>
      <w:r w:rsidRPr="007C0B28">
        <w:rPr>
          <w:rFonts w:ascii="Calibri" w:hAnsi="Calibri" w:cs="Calibri"/>
          <w:sz w:val="20"/>
          <w:szCs w:val="20"/>
          <w:lang w:val="en-AU"/>
        </w:rPr>
        <w:t>Nepean Kidney Research Centre, Department of Renal Medicine, Nepean Hospital</w:t>
      </w:r>
      <w:r>
        <w:rPr>
          <w:rFonts w:ascii="Calibri" w:hAnsi="Calibri" w:cs="Calibri"/>
          <w:sz w:val="20"/>
          <w:szCs w:val="20"/>
          <w:vertAlign w:val="superscript"/>
          <w:lang w:val="en-AU"/>
        </w:rPr>
        <w:t>3</w:t>
      </w:r>
      <w:r w:rsidRPr="007C0B28">
        <w:rPr>
          <w:rFonts w:ascii="Calibri" w:hAnsi="Calibri" w:cs="Calibri"/>
          <w:sz w:val="20"/>
          <w:szCs w:val="20"/>
          <w:lang w:val="en-AU"/>
        </w:rPr>
        <w:t>, Kingswood, NSW</w:t>
      </w:r>
      <w:r>
        <w:rPr>
          <w:rFonts w:ascii="Calibri" w:hAnsi="Calibri" w:cs="Calibri"/>
          <w:sz w:val="20"/>
          <w:szCs w:val="20"/>
          <w:lang w:val="en-AU"/>
        </w:rPr>
        <w:t xml:space="preserve">; </w:t>
      </w:r>
      <w:r w:rsidRPr="007C0B28">
        <w:rPr>
          <w:rFonts w:ascii="Calibri" w:hAnsi="Calibri" w:cs="Calibri"/>
          <w:sz w:val="20"/>
          <w:szCs w:val="20"/>
          <w:lang w:val="en-AU"/>
        </w:rPr>
        <w:t>Faculty of Medicine, Western Sydney University</w:t>
      </w:r>
      <w:r>
        <w:rPr>
          <w:rFonts w:ascii="Calibri" w:hAnsi="Calibri" w:cs="Calibri"/>
          <w:sz w:val="20"/>
          <w:szCs w:val="20"/>
          <w:vertAlign w:val="superscript"/>
          <w:lang w:val="en-AU"/>
        </w:rPr>
        <w:t>4</w:t>
      </w:r>
      <w:r w:rsidRPr="007C0B28">
        <w:rPr>
          <w:rFonts w:ascii="Calibri" w:hAnsi="Calibri" w:cs="Calibri"/>
          <w:sz w:val="20"/>
          <w:szCs w:val="20"/>
          <w:lang w:val="en-AU"/>
        </w:rPr>
        <w:t>, Sydney, NSW</w:t>
      </w:r>
      <w:r>
        <w:rPr>
          <w:rFonts w:ascii="Calibri" w:hAnsi="Calibri" w:cs="Calibri"/>
          <w:sz w:val="20"/>
          <w:szCs w:val="20"/>
          <w:lang w:val="en-AU"/>
        </w:rPr>
        <w:t xml:space="preserve">; </w:t>
      </w:r>
      <w:r w:rsidRPr="007C0B28">
        <w:rPr>
          <w:rFonts w:ascii="Calibri" w:hAnsi="Calibri" w:cs="Calibri"/>
          <w:sz w:val="20"/>
          <w:szCs w:val="20"/>
          <w:lang w:val="en-AU"/>
        </w:rPr>
        <w:t>Department of Renal Medicine, Blacktown Hospital</w:t>
      </w:r>
      <w:r>
        <w:rPr>
          <w:rFonts w:ascii="Calibri" w:hAnsi="Calibri" w:cs="Calibri"/>
          <w:sz w:val="20"/>
          <w:szCs w:val="20"/>
          <w:vertAlign w:val="superscript"/>
          <w:lang w:val="en-AU"/>
        </w:rPr>
        <w:t>5</w:t>
      </w:r>
      <w:r w:rsidRPr="007C0B28">
        <w:rPr>
          <w:rFonts w:ascii="Calibri" w:hAnsi="Calibri" w:cs="Calibri"/>
          <w:sz w:val="20"/>
          <w:szCs w:val="20"/>
          <w:lang w:val="en-AU"/>
        </w:rPr>
        <w:t>, Blacktown, NSW</w:t>
      </w:r>
      <w:r>
        <w:rPr>
          <w:rFonts w:ascii="Calibri" w:hAnsi="Calibri" w:cs="Calibri"/>
          <w:sz w:val="20"/>
          <w:szCs w:val="20"/>
          <w:lang w:val="en-AU"/>
        </w:rPr>
        <w:t xml:space="preserve">; </w:t>
      </w:r>
      <w:r w:rsidRPr="007C0B28">
        <w:rPr>
          <w:rFonts w:ascii="Calibri" w:hAnsi="Calibri" w:cs="Calibri"/>
          <w:sz w:val="20"/>
          <w:szCs w:val="20"/>
          <w:lang w:val="en-AU"/>
        </w:rPr>
        <w:t>Pharmacy Department, Blacktown Hospital</w:t>
      </w:r>
      <w:r>
        <w:rPr>
          <w:rFonts w:ascii="Calibri" w:hAnsi="Calibri" w:cs="Calibri"/>
          <w:sz w:val="20"/>
          <w:szCs w:val="20"/>
          <w:vertAlign w:val="superscript"/>
          <w:lang w:val="en-AU"/>
        </w:rPr>
        <w:t>6</w:t>
      </w:r>
      <w:r w:rsidRPr="007C0B28">
        <w:rPr>
          <w:rFonts w:ascii="Calibri" w:hAnsi="Calibri" w:cs="Calibri"/>
          <w:sz w:val="20"/>
          <w:szCs w:val="20"/>
          <w:lang w:val="en-AU"/>
        </w:rPr>
        <w:t>, Blacktown</w:t>
      </w:r>
      <w:r>
        <w:rPr>
          <w:rFonts w:ascii="Calibri" w:hAnsi="Calibri" w:cs="Calibri"/>
          <w:sz w:val="20"/>
          <w:szCs w:val="20"/>
          <w:lang w:val="en-AU"/>
        </w:rPr>
        <w:t xml:space="preserve">, NSW. </w:t>
      </w:r>
    </w:p>
    <w:p w14:paraId="778190DB" w14:textId="3C4C7E80"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409F0F54" w14:textId="2FDC3C55"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D30FDE" w:rsidRPr="00D30FDE">
        <w:rPr>
          <w:rFonts w:ascii="Calibri" w:hAnsi="Calibri" w:cs="Calibri"/>
          <w:sz w:val="20"/>
          <w:szCs w:val="20"/>
          <w:lang w:val="en-AU"/>
        </w:rPr>
        <w:t xml:space="preserve">Renin-angiotensin system inhibitors (RASIs) are recommended to maintain residual kidney function (RKF) in peritoneal dialysis (PD) patients; however, studies have shown variable impact on RKF. </w:t>
      </w:r>
    </w:p>
    <w:p w14:paraId="311BE767" w14:textId="1BA4249E"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D30FDE" w:rsidRPr="00D30FDE">
        <w:rPr>
          <w:rFonts w:ascii="Calibri" w:hAnsi="Calibri" w:cs="Calibri"/>
          <w:sz w:val="20"/>
          <w:szCs w:val="20"/>
          <w:lang w:val="en-AU"/>
        </w:rPr>
        <w:t>This study aims to assess the effect of RASI on the decline in RKF among patients undergoing PD.</w:t>
      </w:r>
    </w:p>
    <w:p w14:paraId="168924C0" w14:textId="5131FA36"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D30FDE" w:rsidRPr="00D30FDE">
        <w:rPr>
          <w:rFonts w:ascii="Calibri" w:hAnsi="Calibri" w:cs="Calibri"/>
          <w:sz w:val="20"/>
          <w:szCs w:val="20"/>
          <w:lang w:val="en-AU"/>
        </w:rPr>
        <w:t>This retrospective cohort study included patients receiving PD at a large metropolitan dialysis centre in Australia. Patients were stratified into two groups based on RASI use. RKF was assessed using residual Kt/V and urine volume, defined as the time of RASI initiation for patients on therapy, and the last recorded RKF measurement for patients who discontinued RASI during PD treatment. The primary outcome was the comparison of residual urine volume and residual Kt/V between the two groups.</w:t>
      </w:r>
    </w:p>
    <w:p w14:paraId="2653946C" w14:textId="2E30996A"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D30FDE" w:rsidRPr="00D30FDE">
        <w:rPr>
          <w:rFonts w:ascii="Calibri" w:hAnsi="Calibri" w:cs="Calibri"/>
          <w:sz w:val="20"/>
          <w:szCs w:val="20"/>
          <w:lang w:val="en-AU"/>
        </w:rPr>
        <w:t>231 out of 307 PD patients were included in the analysis after excluding patients who lacked comparative RKF data within the required timeframe. Approximately half (n = 111; 48.1%) were receiving RASI. Patients on RASI were younger than those not on therapy [65 years (IQR 56–74) vs. 72 years (IQR 61–77); p = 0.014]. No significant differences were observed between groups in the decline of residual urine volume (288 mL [IQR 106–802] in RASI users vs. 403 mL [IQR 124–813] in non-users; p = 0.392) or residual Kt/V (0.310 [IQR 0.080–0.730] in RASI users vs. 0.420 [IQR 0.113–0.760] in non-users; p = 0.295). Hospitalisation rates and PD-related infections were also similar between groups.</w:t>
      </w:r>
    </w:p>
    <w:p w14:paraId="1F6516C8" w14:textId="5B30EA92" w:rsidR="00F97620"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D30FDE" w:rsidRPr="00D30FDE">
        <w:rPr>
          <w:rFonts w:ascii="Calibri" w:hAnsi="Calibri" w:cs="Calibri"/>
          <w:sz w:val="20"/>
          <w:szCs w:val="20"/>
          <w:lang w:val="en-AU"/>
        </w:rPr>
        <w:t>RASI therapy was not associated with preservation of RKF in patients undergoing PD in this cohort. While previous studies suggested potential renoprotective effects of RASI, our findings align with the recent evidence supporting mixed efficacy in this population. Larger prospective trials are needed to clarify the role of RASI in improving long-term outcomes in PD.</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C78BC"/>
    <w:rsid w:val="002226BB"/>
    <w:rsid w:val="002272B0"/>
    <w:rsid w:val="00300B92"/>
    <w:rsid w:val="003238D9"/>
    <w:rsid w:val="00387491"/>
    <w:rsid w:val="003E10A2"/>
    <w:rsid w:val="0042533E"/>
    <w:rsid w:val="00444224"/>
    <w:rsid w:val="00483B05"/>
    <w:rsid w:val="004E28B9"/>
    <w:rsid w:val="004E50FC"/>
    <w:rsid w:val="004E5450"/>
    <w:rsid w:val="0059609A"/>
    <w:rsid w:val="00597659"/>
    <w:rsid w:val="005D1700"/>
    <w:rsid w:val="005E48A2"/>
    <w:rsid w:val="005E62BE"/>
    <w:rsid w:val="00711813"/>
    <w:rsid w:val="00724E3C"/>
    <w:rsid w:val="00743C46"/>
    <w:rsid w:val="00760B17"/>
    <w:rsid w:val="007C0B28"/>
    <w:rsid w:val="00885303"/>
    <w:rsid w:val="008909C9"/>
    <w:rsid w:val="009244B1"/>
    <w:rsid w:val="00947B77"/>
    <w:rsid w:val="009E2228"/>
    <w:rsid w:val="009F06D6"/>
    <w:rsid w:val="00A266B4"/>
    <w:rsid w:val="00A71DEF"/>
    <w:rsid w:val="00AE2DA6"/>
    <w:rsid w:val="00BC5FCC"/>
    <w:rsid w:val="00C132EC"/>
    <w:rsid w:val="00C60A71"/>
    <w:rsid w:val="00D30FDE"/>
    <w:rsid w:val="00D55F3B"/>
    <w:rsid w:val="00DA2731"/>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0391F"/>
  <w15:chartTrackingRefBased/>
  <w15:docId w15:val="{7845A10D-4170-9B4D-8DE9-9CE84474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2558</CharactersWithSpaces>
  <SharedDoc>false</SharedDoc>
  <HLinks>
    <vt:vector size="6" baseType="variant">
      <vt:variant>
        <vt:i4>4194423</vt:i4>
      </vt:variant>
      <vt:variant>
        <vt:i4>0</vt:i4>
      </vt:variant>
      <vt:variant>
        <vt:i4>0</vt:i4>
      </vt:variant>
      <vt:variant>
        <vt:i4>5</vt:i4>
      </vt:variant>
      <vt:variant>
        <vt:lpwstr>mailto:ascept-hypertensionau@expertevents.com.au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Jing Xin Goh</cp:lastModifiedBy>
  <cp:revision>3</cp:revision>
  <cp:lastPrinted>2013-06-13T05:15:00Z</cp:lastPrinted>
  <dcterms:created xsi:type="dcterms:W3CDTF">2025-08-30T01:46:00Z</dcterms:created>
  <dcterms:modified xsi:type="dcterms:W3CDTF">2025-08-30T01:56:00Z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