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9497" w14:textId="7FB094AE" w:rsidR="005C3E4F" w:rsidRDefault="005C3E4F" w:rsidP="005C3E4F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06665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Effect of Rotation Speed and Flowrate on </w:t>
      </w:r>
      <w:r w:rsidR="002B660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Powder Evacuation </w:t>
      </w:r>
      <w:r w:rsidR="002A2E9C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from</w:t>
      </w:r>
      <w:r w:rsidR="002B660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a Capsule</w:t>
      </w:r>
    </w:p>
    <w:p w14:paraId="79141BD9" w14:textId="2F96240E" w:rsidR="00C315D2" w:rsidRPr="00C315D2" w:rsidRDefault="00CE7D38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Athiya Azeem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Agisilaos Kourmatzis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B914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81EA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Gajendra Singh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D81EA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Hak</w:t>
      </w:r>
      <w:r w:rsidR="00F8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-Kim Chan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1,4</w:t>
      </w:r>
      <w:r w:rsidR="00F8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proofErr w:type="spellStart"/>
      <w:r w:rsidR="00F8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Shaokoon</w:t>
      </w:r>
      <w:proofErr w:type="spellEnd"/>
      <w:r w:rsidR="00F8569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Cheng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1,5</w:t>
      </w:r>
      <w:r w:rsidR="00B914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F69AC58" w14:textId="5A85E331" w:rsidR="002D7D71" w:rsidRPr="002D7D71" w:rsidRDefault="002D7D7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</w:pPr>
      <w:r w:rsidRPr="002D7D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ASK Scientia Pty Ltd, Sydney, NSW, Australia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058DEA47" w14:textId="3BE73130" w:rsidR="00F8569A" w:rsidRDefault="00CE7D38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Aerospace, Mechanical and Mechatronics Engineering (AMME)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Sydney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5EC38FAF" w14:textId="2FD9A2CE" w:rsidR="005A4F85" w:rsidRDefault="00487129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871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Engineering, IIT Mandi, Mandi, </w:t>
      </w:r>
      <w:proofErr w:type="gramStart"/>
      <w:r w:rsidRPr="004871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India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4871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13D0E29D" w14:textId="122C3B89" w:rsidR="00AC1A01" w:rsidRDefault="005F7378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Sydney </w:t>
      </w:r>
      <w:r w:rsidR="00AC1A01" w:rsidRPr="00AC1A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Pharmacy</w:t>
      </w:r>
      <w:r w:rsidRPr="005F7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AC1A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</w:t>
      </w:r>
      <w:r w:rsidR="00AC1A01" w:rsidRPr="00AC1A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the University of Sydney, Sydney, Australia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</w:p>
    <w:p w14:paraId="7C825BE0" w14:textId="54EF332C" w:rsidR="00487129" w:rsidRPr="00D5671B" w:rsidRDefault="000235BA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</w:pPr>
      <w:r w:rsidRPr="000235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Engineering, Macquarie University, Sydney, Australia</w:t>
      </w:r>
      <w:r w:rsidR="002D7D7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5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13490AF" w14:textId="239CD60E" w:rsidR="009B0999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bookmarkStart w:id="0" w:name="_Hlk199336630"/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60F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common design </w:t>
      </w:r>
      <w:r w:rsidR="00D603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configuration </w:t>
      </w:r>
      <w:r w:rsidR="00560FA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</w:t>
      </w:r>
      <w:r w:rsidR="001914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dry powder inhalers </w:t>
      </w:r>
      <w:r w:rsidR="00F525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6B080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 inclusion of </w:t>
      </w:r>
      <w:r w:rsidR="001914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6B080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capsule inside a swirling chamber that enables the capsule to rotate about its minor axis</w:t>
      </w:r>
      <w:r w:rsidR="00171AC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C10E7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Despite the prevalence of these devices, </w:t>
      </w:r>
      <w:r w:rsidR="00C6369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their performance remains poorly understood. Previous experimental research has typically focused on </w:t>
      </w:r>
      <w:r w:rsidR="00EE724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measuring the </w:t>
      </w:r>
      <w:r w:rsidR="00C6369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emitted </w:t>
      </w:r>
      <w:r w:rsidR="006113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particle size distribution</w:t>
      </w:r>
      <w:r w:rsidR="00934E2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however few studies have considered internal </w:t>
      </w:r>
      <w:r w:rsidR="006113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phenomena </w:t>
      </w:r>
      <w:r w:rsidR="008623B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beyond direct imaging of capsule motion. </w:t>
      </w:r>
      <w:r w:rsidR="007042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this study, </w:t>
      </w:r>
      <w:r w:rsidR="001173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custom device was </w:t>
      </w:r>
      <w:r w:rsidR="003437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utilised </w:t>
      </w:r>
      <w:r w:rsidR="001173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enable direct imaging of internal powder dynamics while emulating features of </w:t>
      </w:r>
      <w:r w:rsidR="00DD45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commercial devices. The device was designed to </w:t>
      </w:r>
      <w:r w:rsidR="00742B0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DD45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ecouple the </w:t>
      </w:r>
      <w:r w:rsid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effects</w:t>
      </w:r>
      <w:r w:rsidR="00DD45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rotation speed from flow rate </w:t>
      </w:r>
      <w:r w:rsidR="002251C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remove the impact of capsule collisions.</w:t>
      </w:r>
    </w:p>
    <w:bookmarkEnd w:id="0"/>
    <w:p w14:paraId="7F81989B" w14:textId="77777777" w:rsidR="007F4FB1" w:rsidRPr="00C315D2" w:rsidRDefault="007F4FB1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E743587" w14:textId="6CFF1CE4" w:rsidR="0016669F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B59C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 optically accessible </w:t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device</w:t>
      </w:r>
      <w:r w:rsidR="006113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containing a capsule,</w:t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shown in </w:t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REF _Ref199338710 \h </w:instrText>
      </w:r>
      <w:r w:rsid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\* MERGEFORMAT </w:instrText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30226A" w:rsidRP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Figure 1</w:t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30226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</w:t>
      </w:r>
      <w:r w:rsidR="00695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affixed to a rotating platform that was actuated by a motor at three speeds of 3000 RPM, 7000 RPM and 15000 RPM for two flowrates, </w:t>
      </w:r>
      <w:r w:rsidR="00225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30 SLPM and 50 SLPM. High</w:t>
      </w:r>
      <w:r w:rsidR="006113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r w:rsidR="00225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speed microscopic backlit images 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</w:t>
      </w:r>
      <w:r w:rsidR="0022542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taken at 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field of view</w:t>
      </w:r>
      <w:r w:rsidR="00DB40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(FOV)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shown in 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REF _Ref199338710 \h </w:instrText>
      </w:r>
      <w:r w:rsid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\* MERGEFORMAT </w:instrTex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366162" w:rsidRP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Figure 1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  <w:r w:rsidR="00D928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661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which were analysed to obtain velocity measurements.</w:t>
      </w:r>
      <w:r w:rsidR="00B337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F25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Respitose</w:t>
      </w:r>
      <w:r w:rsidR="000F25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®</w:t>
      </w:r>
      <w:r w:rsidR="00DB40A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r w:rsidR="000F25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SV010</w:t>
      </w:r>
      <w:r w:rsidR="00DB40A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0F25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was </w:t>
      </w:r>
      <w:r w:rsidR="00C927C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utilised as the lack of agglomeration facilitated particle tracking upon evacuation.</w:t>
      </w:r>
    </w:p>
    <w:p w14:paraId="0F30475F" w14:textId="23721CCC" w:rsidR="008534F7" w:rsidRDefault="00733670" w:rsidP="00733670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33670">
        <w:rPr>
          <w:rFonts w:ascii="Arial" w:eastAsia="Calibri" w:hAnsi="Arial" w:cs="Calibri"/>
          <w:bCs/>
          <w:noProof/>
          <w:kern w:val="0"/>
          <w:sz w:val="20"/>
          <w:szCs w:val="20"/>
          <w14:ligatures w14:val="none"/>
        </w:rPr>
        <w:drawing>
          <wp:inline distT="0" distB="0" distL="0" distR="0" wp14:anchorId="6BC78E21" wp14:editId="4C2EB019">
            <wp:extent cx="2621280" cy="1162708"/>
            <wp:effectExtent l="0" t="0" r="7620" b="0"/>
            <wp:docPr id="1156548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487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9573" cy="11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B9C3" w14:textId="7DF4E36D" w:rsidR="00C315D2" w:rsidRPr="00597263" w:rsidRDefault="008534F7" w:rsidP="00597263">
      <w:pPr>
        <w:pStyle w:val="Caption"/>
        <w:rPr>
          <w:rFonts w:ascii="Arial" w:eastAsia="Calibri" w:hAnsi="Arial" w:cs="Calibri"/>
          <w:sz w:val="20"/>
          <w:szCs w:val="20"/>
          <w:lang w:val="en-US"/>
        </w:rPr>
      </w:pPr>
      <w:bookmarkStart w:id="1" w:name="_Ref199338710"/>
      <w:r>
        <w:t xml:space="preserve">Figure </w:t>
      </w:r>
      <w:r w:rsidR="009D3110">
        <w:fldChar w:fldCharType="begin"/>
      </w:r>
      <w:r w:rsidR="009D3110">
        <w:instrText xml:space="preserve"> SEQ Figure \* ARABIC </w:instrText>
      </w:r>
      <w:r w:rsidR="009D3110">
        <w:fldChar w:fldCharType="separate"/>
      </w:r>
      <w:r w:rsidR="009D3110">
        <w:rPr>
          <w:noProof/>
        </w:rPr>
        <w:t>1</w:t>
      </w:r>
      <w:r w:rsidR="009D3110">
        <w:rPr>
          <w:noProof/>
        </w:rPr>
        <w:fldChar w:fldCharType="end"/>
      </w:r>
      <w:bookmarkEnd w:id="1"/>
      <w:r>
        <w:t xml:space="preserve">: </w:t>
      </w:r>
      <w:r w:rsidR="00733670">
        <w:t>Left</w:t>
      </w:r>
      <w:r w:rsidR="0069581F">
        <w:t xml:space="preserve"> – Macroscopic image of optically accessible dispersion device with </w:t>
      </w:r>
      <w:r w:rsidR="00A27D25">
        <w:t>microscopic</w:t>
      </w:r>
      <w:r w:rsidR="0069581F">
        <w:t xml:space="preserve"> </w:t>
      </w:r>
      <w:r w:rsidR="00DB40A9">
        <w:t>FOV</w:t>
      </w:r>
      <w:r w:rsidR="006032F7">
        <w:t xml:space="preserve"> shown. Right – Sample microscopic images of FOV. </w:t>
      </w:r>
      <w:r w:rsidR="00A27D25">
        <w:t>Evacuating particles marked within the red outline</w:t>
      </w:r>
      <w:r w:rsidR="006032F7">
        <w:t xml:space="preserve">. </w:t>
      </w:r>
    </w:p>
    <w:p w14:paraId="7AE2250F" w14:textId="12D1A92F" w:rsidR="009D3110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A2003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From the images obtained, particle tracking velocimetry </w:t>
      </w:r>
      <w:r w:rsidR="00D5671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was </w:t>
      </w:r>
      <w:r w:rsidR="00A2003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applied </w:t>
      </w:r>
      <w:r w:rsidR="00D321F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to extract the velocity of particles </w:t>
      </w:r>
      <w:r w:rsidR="007E075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currently </w:t>
      </w:r>
      <w:r w:rsidR="00D321F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evacuating from the capsule</w:t>
      </w:r>
      <w:r w:rsidR="00214E3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Evacuating particles were found to have a higher radial velocity than those passing through the FOV in the swirling flow. </w:t>
      </w:r>
      <w:r w:rsidR="00160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Studies to date have </w:t>
      </w:r>
      <w:r w:rsidR="001E0FC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suggested that increasing rotation speed </w:t>
      </w:r>
      <w:r w:rsidR="00E57EA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should result in greater outflow rate </w:t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fldChar w:fldCharType="begin">
          <w:fldData xml:space="preserve">PEVuZE5vdGU+PENpdGU+PEF1dGhvcj5BbG1laWRhPC9BdXRob3I+PFllYXI+MjAyMjwvWWVhcj48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==
</w:fldData>
        </w:fldChar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instrText xml:space="preserve"> ADDIN EN.CITE </w:instrText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fldChar w:fldCharType="begin">
          <w:fldData xml:space="preserve">PEVuZE5vdGU+PENpdGU+PEF1dGhvcj5BbG1laWRhPC9BdXRob3I+PFllYXI+MjAyMjwvWWVhcj48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==
</w:fldData>
        </w:fldChar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instrText xml:space="preserve"> ADDIN EN.CITE.DATA </w:instrText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fldChar w:fldCharType="end"/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fldChar w:fldCharType="separate"/>
      </w:r>
      <w:r w:rsidR="00B05135">
        <w:rPr>
          <w:rFonts w:ascii="Arial" w:eastAsia="Calibri" w:hAnsi="Arial" w:cs="Calibri"/>
          <w:noProof/>
          <w:kern w:val="0"/>
          <w:sz w:val="20"/>
          <w:szCs w:val="20"/>
          <w:lang w:val="en-US"/>
          <w14:ligatures w14:val="none"/>
        </w:rPr>
        <w:t>[1]</w:t>
      </w:r>
      <w:r w:rsidR="00B0513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fldChar w:fldCharType="end"/>
      </w:r>
      <w:r w:rsidR="0077135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however </w:t>
      </w:r>
      <w:r w:rsidR="00A269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this was not reflected in an increase in exit velocity in this study. Furthermore, regardless of flowrate or rotation speed SV010 particle</w:t>
      </w:r>
      <w:r w:rsidR="005F737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A269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were shown to maintain a consistent distribution of </w:t>
      </w:r>
      <w:r w:rsidR="000D286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evacuating velocity.</w:t>
      </w:r>
    </w:p>
    <w:p w14:paraId="4D7E0C77" w14:textId="73E7A284" w:rsidR="009D3110" w:rsidRDefault="00E27F0D" w:rsidP="00FE73FA">
      <w:pPr>
        <w:spacing w:after="0" w:line="240" w:lineRule="auto"/>
        <w:jc w:val="center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>
        <w:rPr>
          <w:noProof/>
        </w:rPr>
        <w:drawing>
          <wp:inline distT="0" distB="0" distL="0" distR="0" wp14:anchorId="24CB9EC1" wp14:editId="2F0B3940">
            <wp:extent cx="1695700" cy="1440000"/>
            <wp:effectExtent l="0" t="0" r="0" b="8255"/>
            <wp:docPr id="1645933355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33355" name="Picture 1" descr="A graph of 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263">
        <w:rPr>
          <w:noProof/>
        </w:rPr>
        <w:drawing>
          <wp:inline distT="0" distB="0" distL="0" distR="0" wp14:anchorId="1852A9CD" wp14:editId="2FE0A9ED">
            <wp:extent cx="1695701" cy="1440000"/>
            <wp:effectExtent l="0" t="0" r="0" b="8255"/>
            <wp:docPr id="172309254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9254" name="Picture 2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0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C551" w14:textId="77777777" w:rsidR="00E27F0D" w:rsidRDefault="00E27F0D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777A9E0F" w14:textId="03C4DA05" w:rsidR="2021B9E9" w:rsidRPr="005C2940" w:rsidRDefault="009D3110" w:rsidP="005C2940">
      <w:pPr>
        <w:pStyle w:val="Caption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="00597263">
        <w:t>: SV010 Evacuation velocity for 30 SLPM (left) and 50 SLPM (right).</w:t>
      </w:r>
    </w:p>
    <w:p w14:paraId="3F793A7B" w14:textId="321AF2BA" w:rsidR="005C2940" w:rsidRDefault="00B8473A" w:rsidP="005C2940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6E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Evacuation velocity of </w:t>
      </w:r>
      <w:r w:rsidR="004F12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SV010 exiting a capsule was found to be consistent despite changes in rotation speed and flow rate independently. </w:t>
      </w:r>
      <w:r w:rsidR="005B66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Capsule rotation has been known to push the internal arrangement of powder towards the aperture</w:t>
      </w:r>
      <w:r w:rsidR="005F7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5B66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at the </w:t>
      </w:r>
      <w:r w:rsidR="005F7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capsule </w:t>
      </w:r>
      <w:r w:rsidR="005B66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ends. </w:t>
      </w:r>
      <w:r w:rsidR="004029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Once this has occurred collisions are needed to rearrange the internal particle</w:t>
      </w:r>
      <w:r w:rsidR="006113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and enhance evacuation.</w:t>
      </w:r>
    </w:p>
    <w:p w14:paraId="4ED25383" w14:textId="77777777" w:rsidR="00DB40A9" w:rsidRDefault="00DB40A9" w:rsidP="005C2940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44FD6B17" w14:textId="3C21AF90" w:rsidR="00E357B7" w:rsidRPr="009B1CBB" w:rsidRDefault="00C315D2" w:rsidP="00B0513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05135" w:rsidRP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begin"/>
      </w:r>
      <w:r w:rsid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instrText xml:space="preserve"> ADDIN EN.REFLIST </w:instrText>
      </w:r>
      <w:r w:rsidR="00B05135" w:rsidRP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separate"/>
      </w:r>
      <w:r w:rsidR="00B05135" w:rsidRP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1.</w:t>
      </w:r>
      <w:r w:rsidR="00B05135" w:rsidRP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ab/>
        <w:t>Almeida, L.C., et al., Capsule-Based dry powder inhaler evaluation using CFD-DEM simulations and next generation impactor data. Eur J Pharm Sci, 2022. 175: p. 106226.</w:t>
      </w:r>
      <w:r w:rsidR="00B05135" w:rsidRPr="00B051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fldChar w:fldCharType="end"/>
      </w:r>
    </w:p>
    <w:sectPr w:rsidR="00E357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wf0ae0tvezvxe0tf2xffe0zr0wzfzxd9ve&quot;&gt;My EndNote Library&lt;record-ids&gt;&lt;item&gt;154&lt;/item&gt;&lt;/record-ids&gt;&lt;/item&gt;&lt;/Libraries&gt;"/>
  </w:docVars>
  <w:rsids>
    <w:rsidRoot w:val="00C315D2"/>
    <w:rsid w:val="000057D0"/>
    <w:rsid w:val="000223F8"/>
    <w:rsid w:val="000235BA"/>
    <w:rsid w:val="000A3A81"/>
    <w:rsid w:val="000D0300"/>
    <w:rsid w:val="000D2860"/>
    <w:rsid w:val="000F25ED"/>
    <w:rsid w:val="00107368"/>
    <w:rsid w:val="00113BB7"/>
    <w:rsid w:val="00117335"/>
    <w:rsid w:val="00160F3B"/>
    <w:rsid w:val="0016669F"/>
    <w:rsid w:val="00171ACD"/>
    <w:rsid w:val="001914FF"/>
    <w:rsid w:val="001E0FC1"/>
    <w:rsid w:val="002017E6"/>
    <w:rsid w:val="00214E33"/>
    <w:rsid w:val="002251CF"/>
    <w:rsid w:val="0022542B"/>
    <w:rsid w:val="0023164C"/>
    <w:rsid w:val="0026657F"/>
    <w:rsid w:val="00294059"/>
    <w:rsid w:val="002A2E9C"/>
    <w:rsid w:val="002A43FA"/>
    <w:rsid w:val="002B618B"/>
    <w:rsid w:val="002B6608"/>
    <w:rsid w:val="002D7D71"/>
    <w:rsid w:val="002E29E1"/>
    <w:rsid w:val="0030226A"/>
    <w:rsid w:val="003206E4"/>
    <w:rsid w:val="003437ED"/>
    <w:rsid w:val="00366162"/>
    <w:rsid w:val="003A6D5C"/>
    <w:rsid w:val="003C646E"/>
    <w:rsid w:val="003E0FD6"/>
    <w:rsid w:val="003E15A4"/>
    <w:rsid w:val="003F1D56"/>
    <w:rsid w:val="00402961"/>
    <w:rsid w:val="00487129"/>
    <w:rsid w:val="00491333"/>
    <w:rsid w:val="004A51B6"/>
    <w:rsid w:val="004F121A"/>
    <w:rsid w:val="00510CF8"/>
    <w:rsid w:val="00560FAF"/>
    <w:rsid w:val="00575A29"/>
    <w:rsid w:val="00585FF2"/>
    <w:rsid w:val="00597263"/>
    <w:rsid w:val="005A4F85"/>
    <w:rsid w:val="005B6629"/>
    <w:rsid w:val="005C2940"/>
    <w:rsid w:val="005C3E4F"/>
    <w:rsid w:val="005F7378"/>
    <w:rsid w:val="00601754"/>
    <w:rsid w:val="006032F7"/>
    <w:rsid w:val="00603C86"/>
    <w:rsid w:val="0061138F"/>
    <w:rsid w:val="00642B73"/>
    <w:rsid w:val="00643533"/>
    <w:rsid w:val="0069581F"/>
    <w:rsid w:val="00695CDF"/>
    <w:rsid w:val="006A34BE"/>
    <w:rsid w:val="006B0802"/>
    <w:rsid w:val="006F3F1C"/>
    <w:rsid w:val="007042A8"/>
    <w:rsid w:val="007141F2"/>
    <w:rsid w:val="00733670"/>
    <w:rsid w:val="00742B0B"/>
    <w:rsid w:val="00746F23"/>
    <w:rsid w:val="007561D8"/>
    <w:rsid w:val="00770678"/>
    <w:rsid w:val="0077135C"/>
    <w:rsid w:val="0078445C"/>
    <w:rsid w:val="00795378"/>
    <w:rsid w:val="00796206"/>
    <w:rsid w:val="007A1BAA"/>
    <w:rsid w:val="007C367E"/>
    <w:rsid w:val="007C443A"/>
    <w:rsid w:val="007E0751"/>
    <w:rsid w:val="007F4FB1"/>
    <w:rsid w:val="008071C5"/>
    <w:rsid w:val="00820485"/>
    <w:rsid w:val="008534F7"/>
    <w:rsid w:val="008609E2"/>
    <w:rsid w:val="008623BB"/>
    <w:rsid w:val="008756D2"/>
    <w:rsid w:val="00906D34"/>
    <w:rsid w:val="0092755B"/>
    <w:rsid w:val="00933DC9"/>
    <w:rsid w:val="00934E27"/>
    <w:rsid w:val="00936D4C"/>
    <w:rsid w:val="009523F9"/>
    <w:rsid w:val="009650DF"/>
    <w:rsid w:val="009B0999"/>
    <w:rsid w:val="009B1CBB"/>
    <w:rsid w:val="009D3110"/>
    <w:rsid w:val="00A0516D"/>
    <w:rsid w:val="00A06BD1"/>
    <w:rsid w:val="00A20031"/>
    <w:rsid w:val="00A269E8"/>
    <w:rsid w:val="00A27D25"/>
    <w:rsid w:val="00AC1A01"/>
    <w:rsid w:val="00B05135"/>
    <w:rsid w:val="00B337E3"/>
    <w:rsid w:val="00B4100A"/>
    <w:rsid w:val="00B4721D"/>
    <w:rsid w:val="00B8473A"/>
    <w:rsid w:val="00B91488"/>
    <w:rsid w:val="00B96F79"/>
    <w:rsid w:val="00BA19C0"/>
    <w:rsid w:val="00BA6F43"/>
    <w:rsid w:val="00BB511A"/>
    <w:rsid w:val="00BD72BF"/>
    <w:rsid w:val="00C10E79"/>
    <w:rsid w:val="00C21815"/>
    <w:rsid w:val="00C2503E"/>
    <w:rsid w:val="00C315D2"/>
    <w:rsid w:val="00C353D8"/>
    <w:rsid w:val="00C63696"/>
    <w:rsid w:val="00C927C8"/>
    <w:rsid w:val="00CB59C8"/>
    <w:rsid w:val="00CE7D38"/>
    <w:rsid w:val="00CF5A91"/>
    <w:rsid w:val="00D02BB1"/>
    <w:rsid w:val="00D27D8B"/>
    <w:rsid w:val="00D321FC"/>
    <w:rsid w:val="00D45A74"/>
    <w:rsid w:val="00D5671B"/>
    <w:rsid w:val="00D60349"/>
    <w:rsid w:val="00D67777"/>
    <w:rsid w:val="00D7428F"/>
    <w:rsid w:val="00D76DE6"/>
    <w:rsid w:val="00D81EA4"/>
    <w:rsid w:val="00D928B4"/>
    <w:rsid w:val="00D94FAB"/>
    <w:rsid w:val="00D96EB2"/>
    <w:rsid w:val="00DB40A9"/>
    <w:rsid w:val="00DD45C6"/>
    <w:rsid w:val="00E27F0D"/>
    <w:rsid w:val="00E357B7"/>
    <w:rsid w:val="00E57EAB"/>
    <w:rsid w:val="00EB04EA"/>
    <w:rsid w:val="00EC3746"/>
    <w:rsid w:val="00ED4CD9"/>
    <w:rsid w:val="00EE7248"/>
    <w:rsid w:val="00F47F1C"/>
    <w:rsid w:val="00F525B2"/>
    <w:rsid w:val="00F539FB"/>
    <w:rsid w:val="00F847BF"/>
    <w:rsid w:val="00F85528"/>
    <w:rsid w:val="00F8569A"/>
    <w:rsid w:val="00F90C8D"/>
    <w:rsid w:val="00FE73FA"/>
    <w:rsid w:val="00FF7FC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0226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05135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5135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05135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05135"/>
    <w:rPr>
      <w:rFonts w:ascii="Aptos" w:hAnsi="Aptos"/>
      <w:noProof/>
      <w:lang w:val="en-US"/>
    </w:rPr>
  </w:style>
  <w:style w:type="paragraph" w:styleId="Revision">
    <w:name w:val="Revision"/>
    <w:hidden/>
    <w:uiPriority w:val="99"/>
    <w:semiHidden/>
    <w:rsid w:val="00611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1C4C-987F-4D46-87C0-36E27A3C6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Athiya Azeem</cp:lastModifiedBy>
  <cp:revision>9</cp:revision>
  <dcterms:created xsi:type="dcterms:W3CDTF">2025-05-29T04:46:00Z</dcterms:created>
  <dcterms:modified xsi:type="dcterms:W3CDTF">2025-05-30T01:40:00Z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