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Calibri" w:cs="Calibri" w:hAnsi="Calibri" w:eastAsia="Calibri"/>
          <w:b w:val="1"/>
          <w:bCs w:val="1"/>
          <w:sz w:val="28"/>
          <w:szCs w:val="28"/>
        </w:rPr>
      </w:pPr>
      <w:r>
        <w:rPr>
          <w:rFonts w:ascii="Calibri" w:cs="Calibri" w:hAnsi="Calibri" w:eastAsia="Calibri"/>
          <w:b w:val="1"/>
          <w:bCs w:val="1"/>
          <w:sz w:val="28"/>
          <w:szCs w:val="28"/>
          <w:rtl w:val="0"/>
          <w:lang w:val="en-US"/>
        </w:rPr>
        <w:t>Rational Engineering of Binary Oxides and Semiconductors</w:t>
      </w:r>
      <w:r>
        <w:rPr>
          <w:rFonts w:ascii="Calibri" w:cs="Calibri" w:hAnsi="Calibri" w:eastAsia="Calibri"/>
          <w:b w:val="1"/>
          <w:bCs w:val="1"/>
          <w:sz w:val="28"/>
          <w:szCs w:val="28"/>
          <w:rtl w:val="0"/>
          <w:lang w:val="en-US"/>
        </w:rPr>
        <w:t xml:space="preserve"> </w:t>
      </w:r>
      <w:r>
        <w:rPr>
          <w:rFonts w:ascii="Calibri" w:cs="Calibri" w:hAnsi="Calibri" w:eastAsia="Calibri"/>
          <w:b w:val="1"/>
          <w:bCs w:val="1"/>
          <w:sz w:val="28"/>
          <w:szCs w:val="28"/>
          <w:rtl w:val="0"/>
          <w:lang w:val="en-US"/>
        </w:rPr>
        <w:t>for Photocatalytic Applications</w:t>
      </w:r>
    </w:p>
    <w:p>
      <w:pPr>
        <w:pStyle w:val="Body"/>
        <w:jc w:val="both"/>
        <w:rPr>
          <w:rFonts w:ascii="Calibri" w:cs="Calibri" w:hAnsi="Calibri" w:eastAsia="Calibri"/>
          <w:sz w:val="20"/>
          <w:szCs w:val="20"/>
          <w:lang w:val="en-US"/>
        </w:rPr>
      </w:pPr>
    </w:p>
    <w:p>
      <w:pPr>
        <w:pStyle w:val="Body"/>
        <w:jc w:val="center"/>
        <w:rPr>
          <w:rFonts w:ascii="Calibri" w:cs="Calibri" w:hAnsi="Calibri" w:eastAsia="Calibri"/>
          <w:i w:val="1"/>
          <w:iCs w:val="1"/>
        </w:rPr>
      </w:pPr>
      <w:r>
        <w:rPr>
          <w:rFonts w:ascii="Calibri" w:cs="Calibri" w:hAnsi="Calibri" w:eastAsia="Calibri"/>
          <w:i w:val="1"/>
          <w:iCs w:val="1"/>
          <w:rtl w:val="0"/>
          <w:lang w:val="en-US"/>
        </w:rPr>
        <w:t>Claudio Cazorla</w:t>
      </w:r>
      <w:r>
        <w:rPr>
          <w:rFonts w:ascii="Calibri" w:cs="Calibri" w:hAnsi="Calibri" w:eastAsia="Calibri"/>
          <w:i w:val="1"/>
          <w:iCs w:val="1"/>
          <w:vertAlign w:val="superscript"/>
          <w:rtl w:val="0"/>
          <w:lang w:val="en-US"/>
        </w:rPr>
        <w:t>A</w:t>
      </w:r>
    </w:p>
    <w:p>
      <w:pPr>
        <w:pStyle w:val="Body"/>
        <w:jc w:val="center"/>
        <w:rPr>
          <w:rFonts w:ascii="Calibri" w:cs="Calibri" w:hAnsi="Calibri" w:eastAsia="Calibri"/>
          <w:sz w:val="22"/>
          <w:szCs w:val="22"/>
        </w:rPr>
      </w:pPr>
      <w:r>
        <w:rPr>
          <w:rFonts w:ascii="Calibri" w:cs="Calibri" w:hAnsi="Calibri" w:eastAsia="Calibri"/>
          <w:sz w:val="22"/>
          <w:szCs w:val="22"/>
          <w:vertAlign w:val="superscript"/>
          <w:rtl w:val="0"/>
          <w:lang w:val="en-US"/>
        </w:rPr>
        <w:t>A</w:t>
      </w:r>
      <w:r>
        <w:rPr>
          <w:rFonts w:ascii="Calibri" w:cs="Calibri" w:hAnsi="Calibri" w:eastAsia="Calibri"/>
          <w:sz w:val="22"/>
          <w:szCs w:val="22"/>
          <w:vertAlign w:val="superscript"/>
          <w:rtl w:val="0"/>
          <w:lang w:val="en-US"/>
        </w:rPr>
        <w:t xml:space="preserve"> </w:t>
      </w:r>
      <w:r>
        <w:rPr>
          <w:rFonts w:ascii="Calibri" w:cs="Calibri" w:hAnsi="Calibri" w:eastAsia="Calibri"/>
          <w:sz w:val="22"/>
          <w:szCs w:val="22"/>
          <w:rtl w:val="0"/>
          <w:lang w:val="en-US"/>
        </w:rPr>
        <w:t>School of Materials Science and Engineering, UNSW Sydney, Sydney, Australia</w:t>
      </w:r>
    </w:p>
    <w:p>
      <w:pPr>
        <w:pStyle w:val="Default"/>
        <w:jc w:val="both"/>
        <w:rPr>
          <w:outline w:val="0"/>
          <w:color w:val="000000"/>
          <w:sz w:val="22"/>
          <w:szCs w:val="22"/>
          <w:u w:color="000000"/>
          <w14:textFill>
            <w14:solidFill>
              <w14:srgbClr w14:val="000000"/>
            </w14:solidFill>
          </w14:textFill>
        </w:rPr>
      </w:pPr>
      <w:r>
        <w:rPr>
          <w:rFonts w:ascii="Calibri" w:cs="Calibri" w:hAnsi="Calibri" w:eastAsia="Calibri"/>
          <w:i w:val="1"/>
          <w:iCs w:val="1"/>
          <w:outline w:val="0"/>
          <w:color w:val="000000"/>
          <w:sz w:val="22"/>
          <w:szCs w:val="22"/>
          <w:u w:color="000000"/>
          <w:rtl w:val="0"/>
          <w:lang w:val="en-US"/>
          <w14:textFill>
            <w14:solidFill>
              <w14:srgbClr w14:val="000000"/>
            </w14:solidFill>
          </w14:textFill>
        </w:rPr>
        <w:t xml:space="preserve"> </w:t>
      </w:r>
    </w:p>
    <w:p>
      <w:pPr>
        <w:pStyle w:val="Body"/>
        <w:jc w:val="both"/>
      </w:pPr>
    </w:p>
    <w:p>
      <w:pPr>
        <w:pStyle w:val="Body"/>
        <w:jc w:val="both"/>
        <w:rPr>
          <w:rFonts w:ascii="Calibri" w:cs="Calibri" w:hAnsi="Calibri" w:eastAsia="Calibri"/>
          <w:sz w:val="22"/>
          <w:szCs w:val="22"/>
          <w:lang w:val="en-US"/>
        </w:rPr>
      </w:pPr>
      <w:r>
        <w:rPr>
          <w:rFonts w:ascii="Calibri" w:cs="Calibri" w:hAnsi="Calibri" w:eastAsia="Calibri"/>
          <w:sz w:val="22"/>
          <w:szCs w:val="22"/>
          <w:rtl w:val="0"/>
          <w:lang w:val="en-US"/>
        </w:rPr>
        <w:t>Photocatalytic materials are pivotal for the implementation of disruptive clean energy applications like conversion of H</w:t>
      </w:r>
      <w:r>
        <w:rPr>
          <w:rFonts w:ascii="Calibri" w:cs="Calibri" w:hAnsi="Calibri" w:eastAsia="Calibri"/>
          <w:sz w:val="22"/>
          <w:szCs w:val="22"/>
          <w:vertAlign w:val="subscript"/>
          <w:rtl w:val="0"/>
          <w:lang w:val="en-US"/>
        </w:rPr>
        <w:t>2</w:t>
      </w:r>
      <w:r>
        <w:rPr>
          <w:rFonts w:ascii="Calibri" w:cs="Calibri" w:hAnsi="Calibri" w:eastAsia="Calibri"/>
          <w:sz w:val="22"/>
          <w:szCs w:val="22"/>
          <w:rtl w:val="0"/>
          <w:lang w:val="en-US"/>
        </w:rPr>
        <w:t>O and CO</w:t>
      </w:r>
      <w:r>
        <w:rPr>
          <w:rFonts w:ascii="Calibri" w:cs="Calibri" w:hAnsi="Calibri" w:eastAsia="Calibri"/>
          <w:sz w:val="22"/>
          <w:szCs w:val="22"/>
          <w:vertAlign w:val="subscript"/>
          <w:rtl w:val="0"/>
          <w:lang w:val="en-US"/>
        </w:rPr>
        <w:t>2</w:t>
      </w:r>
      <w:r>
        <w:rPr>
          <w:rFonts w:ascii="Calibri" w:cs="Calibri" w:hAnsi="Calibri" w:eastAsia="Calibri"/>
          <w:sz w:val="22"/>
          <w:szCs w:val="22"/>
          <w:rtl w:val="0"/>
          <w:lang w:val="en-US"/>
        </w:rPr>
        <w:t xml:space="preserve"> into fuels and chemicals driven by solar energy. However, efficient and cost-effective materials able to catalyze the chemical reactions of interest when exposed to visible light are scarce due to the stringent electronic conditions that they must satisfy. Chemical and nanostructuring approaches are capable of improving the catalytic performance of known photoactive compounds, however the complexity of the synthesized nanomaterials and sophistication of the employed methods make systematic design of photocatalysts difficult. Here, we present the results of recent first-principles studies on binary oxides and semiconductors that have the potential to improve the systematic screening and rational design of photocatalytic materials</w:t>
      </w:r>
      <w:r>
        <w:rPr>
          <w:rFonts w:ascii="Calibri" w:cs="Calibri" w:hAnsi="Calibri" w:eastAsia="Calibri"/>
          <w:sz w:val="22"/>
          <w:szCs w:val="22"/>
          <w:vertAlign w:val="superscript"/>
          <w:rtl w:val="0"/>
          <w:lang w:val="en-US"/>
        </w:rPr>
        <w:t>1,2</w:t>
      </w:r>
      <w:r>
        <w:rPr>
          <w:rFonts w:ascii="Calibri" w:cs="Calibri" w:hAnsi="Calibri" w:eastAsia="Calibri"/>
          <w:sz w:val="22"/>
          <w:szCs w:val="22"/>
          <w:rtl w:val="0"/>
          <w:lang w:val="en-US"/>
        </w:rPr>
        <w:t>. First, we introduce an efficient multi-configurational supercell approach for estimating the mixing thermodynamics and structural and functional properties of semiconductor solid solutions, which takes into consideration the  effects of configurational disorder and lattice vibrations on the free energy. The method is applied to (GaP)</w:t>
      </w:r>
      <w:r>
        <w:rPr>
          <w:rFonts w:ascii="Calibri" w:cs="Calibri" w:hAnsi="Calibri" w:eastAsia="Calibri"/>
          <w:sz w:val="22"/>
          <w:szCs w:val="22"/>
          <w:vertAlign w:val="subscript"/>
          <w:rtl w:val="0"/>
          <w:lang w:val="en-US"/>
        </w:rPr>
        <w:t>x</w:t>
      </w:r>
      <w:r>
        <w:rPr>
          <w:rFonts w:ascii="Calibri" w:cs="Calibri" w:hAnsi="Calibri" w:eastAsia="Calibri"/>
          <w:sz w:val="22"/>
          <w:szCs w:val="22"/>
          <w:rtl w:val="0"/>
          <w:lang w:val="en-US"/>
        </w:rPr>
        <w:t>(ZnS)</w:t>
      </w:r>
      <w:r>
        <w:rPr>
          <w:rFonts w:ascii="Calibri" w:cs="Calibri" w:hAnsi="Calibri" w:eastAsia="Calibri"/>
          <w:sz w:val="22"/>
          <w:szCs w:val="22"/>
          <w:vertAlign w:val="subscript"/>
          <w:rtl w:val="0"/>
          <w:lang w:val="en-US"/>
        </w:rPr>
        <w:t>1-x</w:t>
      </w:r>
      <w:r>
        <w:rPr>
          <w:rFonts w:ascii="Calibri" w:cs="Calibri" w:hAnsi="Calibri" w:eastAsia="Calibri"/>
          <w:sz w:val="22"/>
          <w:szCs w:val="22"/>
          <w:rtl w:val="0"/>
          <w:lang w:val="en-US"/>
        </w:rPr>
        <w:t xml:space="preserve"> solid solutions with the finding that compositions x</w:t>
      </w:r>
      <w:r>
        <w:rPr>
          <w:rFonts w:ascii="Calibri" w:cs="Calibri" w:hAnsi="Calibri" w:eastAsia="Calibri"/>
          <w:sz w:val="22"/>
          <w:szCs w:val="22"/>
          <w:rtl w:val="0"/>
          <w:lang w:val="en-US"/>
        </w:rPr>
        <w:t>≈</w:t>
      </w:r>
      <w:r>
        <w:rPr>
          <w:rFonts w:ascii="Calibri" w:cs="Calibri" w:hAnsi="Calibri" w:eastAsia="Calibri"/>
          <w:sz w:val="22"/>
          <w:szCs w:val="22"/>
          <w:rtl w:val="0"/>
          <w:lang w:val="en-US"/>
        </w:rPr>
        <w:t>25, 50, and 75% render promising photocatalysts for water splitting under visible light. And second, we show that application of biaxial stress on semiconductor binary oxides can modify their optoelectronic and catalytic properties in a significant and predictable manner. In particular, upon moderate tensile strains CeO</w:t>
      </w:r>
      <w:r>
        <w:rPr>
          <w:rFonts w:ascii="Calibri" w:cs="Calibri" w:hAnsi="Calibri" w:eastAsia="Calibri"/>
          <w:sz w:val="12"/>
          <w:szCs w:val="12"/>
          <w:rtl w:val="0"/>
          <w:lang w:val="en-US"/>
        </w:rPr>
        <w:t xml:space="preserve">2 </w:t>
      </w:r>
      <w:r>
        <w:rPr>
          <w:rFonts w:ascii="Calibri" w:cs="Calibri" w:hAnsi="Calibri" w:eastAsia="Calibri"/>
          <w:sz w:val="22"/>
          <w:szCs w:val="22"/>
          <w:rtl w:val="0"/>
          <w:lang w:val="en-US"/>
        </w:rPr>
        <w:t>and TiO</w:t>
      </w:r>
      <w:r>
        <w:rPr>
          <w:rFonts w:ascii="Calibri" w:cs="Calibri" w:hAnsi="Calibri" w:eastAsia="Calibri"/>
          <w:sz w:val="12"/>
          <w:szCs w:val="12"/>
          <w:rtl w:val="0"/>
          <w:lang w:val="en-US"/>
        </w:rPr>
        <w:t xml:space="preserve">2 </w:t>
      </w:r>
      <w:r>
        <w:rPr>
          <w:rFonts w:ascii="Calibri" w:cs="Calibri" w:hAnsi="Calibri" w:eastAsia="Calibri"/>
          <w:sz w:val="22"/>
          <w:szCs w:val="22"/>
          <w:rtl w:val="0"/>
          <w:lang w:val="en-US"/>
        </w:rPr>
        <w:t>become suitable materials for photocatalytic conversion of H</w:t>
      </w:r>
      <w:r>
        <w:rPr>
          <w:rFonts w:ascii="Calibri" w:cs="Calibri" w:hAnsi="Calibri" w:eastAsia="Calibri"/>
          <w:sz w:val="12"/>
          <w:szCs w:val="12"/>
          <w:rtl w:val="0"/>
          <w:lang w:val="en-US"/>
        </w:rPr>
        <w:t>2</w:t>
      </w:r>
      <w:r>
        <w:rPr>
          <w:rFonts w:ascii="Calibri" w:cs="Calibri" w:hAnsi="Calibri" w:eastAsia="Calibri"/>
          <w:sz w:val="22"/>
          <w:szCs w:val="22"/>
          <w:rtl w:val="0"/>
          <w:lang w:val="en-US"/>
        </w:rPr>
        <w:t>O into H</w:t>
      </w:r>
      <w:r>
        <w:rPr>
          <w:rFonts w:ascii="Calibri" w:cs="Calibri" w:hAnsi="Calibri" w:eastAsia="Calibri"/>
          <w:sz w:val="12"/>
          <w:szCs w:val="12"/>
          <w:rtl w:val="0"/>
          <w:lang w:val="en-US"/>
        </w:rPr>
        <w:t xml:space="preserve">2 </w:t>
      </w:r>
      <w:r>
        <w:rPr>
          <w:rFonts w:ascii="Calibri" w:cs="Calibri" w:hAnsi="Calibri" w:eastAsia="Calibri"/>
          <w:sz w:val="22"/>
          <w:szCs w:val="22"/>
          <w:rtl w:val="0"/>
          <w:lang w:val="en-US"/>
        </w:rPr>
        <w:t>and of CO</w:t>
      </w:r>
      <w:r>
        <w:rPr>
          <w:rFonts w:ascii="Calibri" w:cs="Calibri" w:hAnsi="Calibri" w:eastAsia="Calibri"/>
          <w:sz w:val="12"/>
          <w:szCs w:val="12"/>
          <w:rtl w:val="0"/>
          <w:lang w:val="en-US"/>
        </w:rPr>
        <w:t xml:space="preserve">2 </w:t>
      </w:r>
      <w:r>
        <w:rPr>
          <w:rFonts w:ascii="Calibri" w:cs="Calibri" w:hAnsi="Calibri" w:eastAsia="Calibri"/>
          <w:sz w:val="22"/>
          <w:szCs w:val="22"/>
          <w:rtl w:val="0"/>
          <w:lang w:val="en-US"/>
        </w:rPr>
        <w:t>into CH</w:t>
      </w:r>
      <w:r>
        <w:rPr>
          <w:rFonts w:ascii="Calibri" w:cs="Calibri" w:hAnsi="Calibri" w:eastAsia="Calibri"/>
          <w:sz w:val="12"/>
          <w:szCs w:val="12"/>
          <w:rtl w:val="0"/>
          <w:lang w:val="en-US"/>
        </w:rPr>
        <w:t xml:space="preserve">4 </w:t>
      </w:r>
      <w:r>
        <w:rPr>
          <w:rFonts w:ascii="Calibri" w:cs="Calibri" w:hAnsi="Calibri" w:eastAsia="Calibri"/>
          <w:sz w:val="22"/>
          <w:szCs w:val="22"/>
          <w:rtl w:val="0"/>
          <w:lang w:val="en-US"/>
        </w:rPr>
        <w:t>under sunlight. The band gap shifts induced by biaxial strain are reproduced qualitatively by a simple analytical model that depends only on structural and dielectric susceptibility changes. Thus, compounds mixing and biaxial strain represent two promising routes for methodical screening and rational design of photocatalytic materials.</w:t>
      </w:r>
    </w:p>
    <w:p>
      <w:pPr>
        <w:pStyle w:val="Body"/>
        <w:jc w:val="both"/>
        <w:rPr>
          <w:rFonts w:ascii="Calibri" w:cs="Calibri" w:hAnsi="Calibri" w:eastAsia="Calibri"/>
          <w:sz w:val="22"/>
          <w:szCs w:val="22"/>
          <w:lang w:val="en-US"/>
        </w:rPr>
      </w:pPr>
    </w:p>
    <w:p>
      <w:pPr>
        <w:pStyle w:val="Body"/>
        <w:jc w:val="both"/>
        <w:rPr>
          <w:rFonts w:ascii="Calibri" w:cs="Calibri" w:hAnsi="Calibri" w:eastAsia="Calibri"/>
          <w:sz w:val="22"/>
          <w:szCs w:val="22"/>
          <w:lang w:val="en-US"/>
        </w:rPr>
      </w:pPr>
    </w:p>
    <w:p>
      <w:pPr>
        <w:pStyle w:val="Body"/>
        <w:jc w:val="both"/>
        <w:rPr>
          <w:rFonts w:ascii="Calibri" w:cs="Calibri" w:hAnsi="Calibri" w:eastAsia="Calibri"/>
          <w:b w:val="1"/>
          <w:bCs w:val="1"/>
        </w:rPr>
      </w:pPr>
      <w:r>
        <w:rPr>
          <w:rFonts w:ascii="Calibri" w:cs="Calibri" w:hAnsi="Calibri" w:eastAsia="Calibri"/>
          <w:b w:val="1"/>
          <w:bCs w:val="1"/>
          <w:rtl w:val="0"/>
          <w:lang w:val="en-US"/>
        </w:rPr>
        <w:t>References</w:t>
      </w:r>
    </w:p>
    <w:p>
      <w:pPr>
        <w:pStyle w:val="Body"/>
        <w:numPr>
          <w:ilvl w:val="0"/>
          <w:numId w:val="2"/>
        </w:numPr>
        <w:shd w:val="clear" w:color="auto" w:fill="ffffff"/>
        <w:bidi w:val="0"/>
        <w:ind w:right="0"/>
        <w:jc w:val="both"/>
        <w:rPr>
          <w:rFonts w:ascii="Calibri" w:cs="Calibri" w:hAnsi="Calibri" w:eastAsia="Calibri"/>
          <w:sz w:val="22"/>
          <w:szCs w:val="22"/>
          <w:rtl w:val="0"/>
          <w:lang w:val="en-US"/>
        </w:rPr>
      </w:pPr>
      <w:r>
        <w:rPr>
          <w:rFonts w:ascii="Calibri" w:cs="Calibri" w:hAnsi="Calibri" w:eastAsia="Calibri"/>
          <w:sz w:val="22"/>
          <w:szCs w:val="22"/>
          <w:rtl w:val="0"/>
          <w:lang w:val="en-US"/>
        </w:rPr>
        <w:t xml:space="preserve">Shenoy, J., N., Hart, J., N., Grau-Crespo, R., Allan, N. L. </w:t>
      </w:r>
      <w:r>
        <w:rPr>
          <w:rFonts w:ascii="Calibri" w:cs="Calibri" w:hAnsi="Calibri" w:eastAsia="Calibri"/>
          <w:sz w:val="22"/>
          <w:szCs w:val="22"/>
          <w:rtl w:val="0"/>
        </w:rPr>
        <w:t xml:space="preserve">&amp; </w:t>
      </w:r>
      <w:r>
        <w:rPr>
          <w:rFonts w:ascii="Calibri" w:cs="Calibri" w:hAnsi="Calibri" w:eastAsia="Calibri"/>
          <w:sz w:val="22"/>
          <w:szCs w:val="22"/>
          <w:rtl w:val="0"/>
          <w:lang w:val="en-US"/>
        </w:rPr>
        <w:t>Cazorla, C.</w:t>
      </w:r>
      <w:r>
        <w:rPr>
          <w:rFonts w:ascii="Calibri" w:cs="Calibri" w:hAnsi="Calibri" w:eastAsia="Calibri"/>
          <w:sz w:val="22"/>
          <w:szCs w:val="22"/>
          <w:rtl w:val="0"/>
        </w:rPr>
        <w:t xml:space="preserve"> (2</w:t>
      </w:r>
      <w:r>
        <w:rPr>
          <w:rFonts w:ascii="Calibri" w:cs="Calibri" w:hAnsi="Calibri" w:eastAsia="Calibri"/>
          <w:sz w:val="22"/>
          <w:szCs w:val="22"/>
          <w:rtl w:val="0"/>
          <w:lang w:val="en-US"/>
        </w:rPr>
        <w:t>019</w:t>
      </w:r>
      <w:r>
        <w:rPr>
          <w:rFonts w:ascii="Calibri" w:cs="Calibri" w:hAnsi="Calibri" w:eastAsia="Calibri"/>
          <w:sz w:val="22"/>
          <w:szCs w:val="22"/>
          <w:rtl w:val="0"/>
        </w:rPr>
        <w:t xml:space="preserve">). </w:t>
      </w:r>
      <w:r>
        <w:rPr>
          <w:rFonts w:ascii="Calibri" w:cs="Calibri" w:hAnsi="Calibri" w:eastAsia="Calibri"/>
          <w:sz w:val="22"/>
          <w:szCs w:val="22"/>
          <w:rtl w:val="0"/>
          <w:lang w:val="en-US"/>
        </w:rPr>
        <w:t>Mixing thermodynamics and photocatalytic properties of GaP-ZnS solid solutions.</w:t>
      </w:r>
      <w:r>
        <w:rPr>
          <w:rFonts w:ascii="Calibri" w:cs="Calibri" w:hAnsi="Calibri" w:eastAsia="Calibri"/>
          <w:sz w:val="22"/>
          <w:szCs w:val="22"/>
          <w:rtl w:val="0"/>
        </w:rPr>
        <w:t xml:space="preserve"> </w:t>
      </w:r>
      <w:r>
        <w:rPr>
          <w:rFonts w:ascii="Calibri" w:cs="Calibri" w:hAnsi="Calibri" w:eastAsia="Calibri"/>
          <w:sz w:val="22"/>
          <w:szCs w:val="22"/>
          <w:rtl w:val="0"/>
          <w:lang w:val="en-US"/>
        </w:rPr>
        <w:t>Advanced</w:t>
      </w:r>
      <w:r>
        <w:rPr>
          <w:rFonts w:ascii="Calibri" w:cs="Calibri" w:hAnsi="Calibri" w:eastAsia="Calibri"/>
          <w:sz w:val="22"/>
          <w:szCs w:val="22"/>
          <w:rtl w:val="0"/>
        </w:rPr>
        <w:t xml:space="preserve"> </w:t>
      </w:r>
      <w:r>
        <w:rPr>
          <w:rFonts w:ascii="Calibri" w:cs="Calibri" w:hAnsi="Calibri" w:eastAsia="Calibri"/>
          <w:sz w:val="22"/>
          <w:szCs w:val="22"/>
          <w:rtl w:val="0"/>
          <w:lang w:val="en-US"/>
        </w:rPr>
        <w:t>Theory and Simulations</w:t>
      </w:r>
      <w:r>
        <w:rPr>
          <w:rFonts w:ascii="Calibri" w:cs="Calibri" w:hAnsi="Calibri" w:eastAsia="Calibri"/>
          <w:sz w:val="22"/>
          <w:szCs w:val="22"/>
          <w:rtl w:val="0"/>
        </w:rPr>
        <w:t>, 2, 1</w:t>
      </w:r>
      <w:r>
        <w:rPr>
          <w:rFonts w:ascii="Calibri" w:cs="Calibri" w:hAnsi="Calibri" w:eastAsia="Calibri"/>
          <w:sz w:val="22"/>
          <w:szCs w:val="22"/>
          <w:rtl w:val="0"/>
          <w:lang w:val="en-US"/>
        </w:rPr>
        <w:t>800146</w:t>
      </w:r>
      <w:r>
        <w:rPr>
          <w:rFonts w:ascii="Calibri" w:cs="Calibri" w:hAnsi="Calibri" w:eastAsia="Calibri"/>
          <w:sz w:val="22"/>
          <w:szCs w:val="22"/>
          <w:rtl w:val="0"/>
        </w:rPr>
        <w:t>.</w:t>
      </w:r>
    </w:p>
    <w:p>
      <w:pPr>
        <w:pStyle w:val="Body"/>
        <w:numPr>
          <w:ilvl w:val="0"/>
          <w:numId w:val="2"/>
        </w:numPr>
        <w:shd w:val="clear" w:color="auto" w:fill="ffffff"/>
        <w:bidi w:val="0"/>
        <w:ind w:right="0"/>
        <w:jc w:val="both"/>
        <w:rPr>
          <w:rFonts w:ascii="Calibri" w:cs="Calibri" w:hAnsi="Calibri" w:eastAsia="Calibri"/>
          <w:sz w:val="22"/>
          <w:szCs w:val="22"/>
          <w:rtl w:val="0"/>
          <w:lang w:val="en-US"/>
        </w:rPr>
      </w:pPr>
      <w:r>
        <w:rPr>
          <w:rFonts w:ascii="Calibri" w:cs="Calibri" w:hAnsi="Calibri" w:eastAsia="Calibri"/>
          <w:sz w:val="22"/>
          <w:szCs w:val="22"/>
          <w:rtl w:val="0"/>
          <w:lang w:val="en-US"/>
        </w:rPr>
        <w:t>Liu, Z., Shenoy, J. N., Menendez, C., Hart, J. N., Sorrel, C. C.</w:t>
      </w:r>
      <w:r>
        <w:rPr>
          <w:rFonts w:ascii="Calibri" w:cs="Calibri" w:hAnsi="Calibri" w:eastAsia="Calibri"/>
          <w:sz w:val="22"/>
          <w:szCs w:val="22"/>
          <w:rtl w:val="0"/>
        </w:rPr>
        <w:t xml:space="preserve"> &amp; </w:t>
      </w:r>
      <w:r>
        <w:rPr>
          <w:rFonts w:ascii="Calibri" w:cs="Calibri" w:hAnsi="Calibri" w:eastAsia="Calibri"/>
          <w:sz w:val="22"/>
          <w:szCs w:val="22"/>
          <w:rtl w:val="0"/>
          <w:lang w:val="en-US"/>
        </w:rPr>
        <w:t>Cazorla, C.</w:t>
      </w:r>
      <w:r>
        <w:rPr>
          <w:rFonts w:ascii="Calibri" w:cs="Calibri" w:hAnsi="Calibri" w:eastAsia="Calibri"/>
          <w:sz w:val="22"/>
          <w:szCs w:val="22"/>
          <w:rtl w:val="0"/>
        </w:rPr>
        <w:t xml:space="preserve"> (2</w:t>
      </w:r>
      <w:r>
        <w:rPr>
          <w:rFonts w:ascii="Calibri" w:cs="Calibri" w:hAnsi="Calibri" w:eastAsia="Calibri"/>
          <w:sz w:val="22"/>
          <w:szCs w:val="22"/>
          <w:rtl w:val="0"/>
          <w:lang w:val="en-US"/>
        </w:rPr>
        <w:t>019</w:t>
      </w:r>
      <w:r>
        <w:rPr>
          <w:rFonts w:ascii="Calibri" w:cs="Calibri" w:hAnsi="Calibri" w:eastAsia="Calibri"/>
          <w:sz w:val="22"/>
          <w:szCs w:val="22"/>
          <w:rtl w:val="0"/>
        </w:rPr>
        <w:t>).</w:t>
      </w:r>
      <w:r>
        <w:rPr>
          <w:rFonts w:ascii="Calibri" w:cs="Calibri" w:hAnsi="Calibri" w:eastAsia="Calibri"/>
          <w:sz w:val="22"/>
          <w:szCs w:val="22"/>
          <w:rtl w:val="0"/>
          <w:lang w:val="en-US"/>
        </w:rPr>
        <w:t xml:space="preserve"> Strain engineering of binary oxides for photocatalytic applications (2019). Submitted.</w:t>
      </w:r>
    </w:p>
    <w:p>
      <w:pPr>
        <w:pStyle w:val="Body"/>
        <w:jc w:val="both"/>
      </w:pPr>
      <w:r>
        <w:rPr>
          <w:rFonts w:ascii="Calibri" w:cs="Calibri" w:hAnsi="Calibri" w:eastAsia="Calibri"/>
          <w:sz w:val="22"/>
          <w:szCs w:val="22"/>
          <w:lang w:val="en-US"/>
        </w:rPr>
        <w:drawing>
          <wp:anchor distT="152400" distB="152400" distL="152400" distR="152400" simplePos="0" relativeHeight="251659264" behindDoc="0" locked="0" layoutInCell="1" allowOverlap="1">
            <wp:simplePos x="0" y="0"/>
            <wp:positionH relativeFrom="margin">
              <wp:posOffset>597918</wp:posOffset>
            </wp:positionH>
            <wp:positionV relativeFrom="line">
              <wp:posOffset>392377</wp:posOffset>
            </wp:positionV>
            <wp:extent cx="4907783" cy="3436919"/>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figure.png"/>
                    <pic:cNvPicPr>
                      <a:picLocks noChangeAspect="1"/>
                    </pic:cNvPicPr>
                  </pic:nvPicPr>
                  <pic:blipFill>
                    <a:blip r:embed="rId4">
                      <a:extLst/>
                    </a:blip>
                    <a:stretch>
                      <a:fillRect/>
                    </a:stretch>
                  </pic:blipFill>
                  <pic:spPr>
                    <a:xfrm>
                      <a:off x="0" y="0"/>
                      <a:ext cx="4907783" cy="3436919"/>
                    </a:xfrm>
                    <a:prstGeom prst="rect">
                      <a:avLst/>
                    </a:prstGeom>
                    <a:ln w="12700" cap="flat">
                      <a:noFill/>
                      <a:miter lim="400000"/>
                    </a:ln>
                    <a:effectLst/>
                  </pic:spPr>
                </pic:pic>
              </a:graphicData>
            </a:graphic>
          </wp:anchor>
        </w:drawing>
      </w:r>
    </w:p>
    <w:sectPr>
      <w:headerReference w:type="default" r:id="rId5"/>
      <w:footerReference w:type="default" r:id="rId6"/>
      <w:pgSz w:w="11900" w:h="16840" w:orient="portrait"/>
      <w:pgMar w:top="1134" w:right="1134" w:bottom="1134" w:left="1134"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724" w:hanging="21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884" w:hanging="21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044" w:hanging="21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