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202A" w14:textId="000301F6" w:rsidR="00711813" w:rsidRPr="004E5450" w:rsidRDefault="00CF746B" w:rsidP="00711813">
      <w:pPr>
        <w:jc w:val="both"/>
        <w:rPr>
          <w:rFonts w:ascii="Calibri" w:hAnsi="Calibri" w:cs="Calibri"/>
          <w:b/>
          <w:sz w:val="20"/>
          <w:szCs w:val="20"/>
          <w:lang w:val="en-AU"/>
        </w:rPr>
      </w:pPr>
      <w:r>
        <w:rPr>
          <w:rFonts w:ascii="Calibri" w:hAnsi="Calibri" w:cs="Calibri"/>
          <w:b/>
          <w:sz w:val="20"/>
          <w:szCs w:val="20"/>
          <w:lang w:val="en-AU"/>
        </w:rPr>
        <w:t>Effectiveness of interventions to increase safe and appropriate medicine disposal</w:t>
      </w:r>
      <w:r w:rsidR="00F43BBA">
        <w:rPr>
          <w:rFonts w:ascii="Calibri" w:hAnsi="Calibri" w:cs="Calibri"/>
          <w:b/>
          <w:sz w:val="20"/>
          <w:szCs w:val="20"/>
          <w:lang w:val="en-AU"/>
        </w:rPr>
        <w:t>:</w:t>
      </w:r>
      <w:r w:rsidR="007D0DC1">
        <w:rPr>
          <w:rFonts w:ascii="Calibri" w:hAnsi="Calibri" w:cs="Calibri"/>
          <w:b/>
          <w:sz w:val="20"/>
          <w:szCs w:val="20"/>
          <w:lang w:val="en-AU"/>
        </w:rPr>
        <w:t xml:space="preserve"> systematic review.</w:t>
      </w:r>
    </w:p>
    <w:p w14:paraId="5184C1A6" w14:textId="38647D4D" w:rsidR="00711813" w:rsidRPr="004E5450" w:rsidRDefault="00CF746B" w:rsidP="00711813">
      <w:pPr>
        <w:jc w:val="both"/>
        <w:rPr>
          <w:rFonts w:ascii="Calibri" w:hAnsi="Calibri" w:cs="Calibri"/>
          <w:sz w:val="20"/>
          <w:szCs w:val="20"/>
          <w:lang w:val="en-AU"/>
        </w:rPr>
      </w:pPr>
      <w:r>
        <w:rPr>
          <w:rFonts w:ascii="Calibri" w:hAnsi="Calibri" w:cs="Calibri"/>
          <w:sz w:val="20"/>
          <w:szCs w:val="20"/>
          <w:lang w:val="en-AU"/>
        </w:rPr>
        <w:t>Amy S Ma</w:t>
      </w:r>
      <w:r w:rsidRPr="00CF746B">
        <w:rPr>
          <w:rFonts w:ascii="Calibri" w:hAnsi="Calibri" w:cs="Calibri"/>
          <w:sz w:val="20"/>
          <w:szCs w:val="20"/>
          <w:vertAlign w:val="superscript"/>
          <w:lang w:val="en-AU"/>
        </w:rPr>
        <w:t>1</w:t>
      </w:r>
      <w:r>
        <w:rPr>
          <w:rFonts w:ascii="Calibri" w:hAnsi="Calibri" w:cs="Calibri"/>
          <w:sz w:val="20"/>
          <w:szCs w:val="20"/>
          <w:lang w:val="en-AU"/>
        </w:rPr>
        <w:t>, Andrew J McLachlan</w:t>
      </w:r>
      <w:r>
        <w:rPr>
          <w:rFonts w:ascii="Calibri" w:hAnsi="Calibri" w:cs="Calibri"/>
          <w:sz w:val="20"/>
          <w:szCs w:val="20"/>
          <w:vertAlign w:val="superscript"/>
          <w:lang w:val="en-AU"/>
        </w:rPr>
        <w:t>1</w:t>
      </w:r>
      <w:r>
        <w:rPr>
          <w:rFonts w:ascii="Calibri" w:hAnsi="Calibri" w:cs="Calibri"/>
          <w:sz w:val="20"/>
          <w:szCs w:val="20"/>
          <w:lang w:val="en-AU"/>
        </w:rPr>
        <w:t>, Christina Abdel Shaheed</w:t>
      </w:r>
      <w:r>
        <w:rPr>
          <w:rFonts w:ascii="Calibri" w:hAnsi="Calibri" w:cs="Calibri"/>
          <w:sz w:val="20"/>
          <w:szCs w:val="20"/>
          <w:vertAlign w:val="superscript"/>
          <w:lang w:val="en-AU"/>
        </w:rPr>
        <w:t>2,3</w:t>
      </w:r>
      <w:r>
        <w:rPr>
          <w:rFonts w:ascii="Calibri" w:hAnsi="Calibri" w:cs="Calibri"/>
          <w:sz w:val="20"/>
          <w:szCs w:val="20"/>
          <w:lang w:val="en-AU"/>
        </w:rPr>
        <w:t>, Danijela Gnjidic</w:t>
      </w:r>
      <w:r>
        <w:rPr>
          <w:rFonts w:ascii="Calibri" w:hAnsi="Calibri" w:cs="Calibri"/>
          <w:sz w:val="20"/>
          <w:szCs w:val="20"/>
          <w:vertAlign w:val="superscript"/>
          <w:lang w:val="en-AU"/>
        </w:rPr>
        <w:t>1</w:t>
      </w:r>
      <w:r>
        <w:rPr>
          <w:rFonts w:ascii="Calibri" w:hAnsi="Calibri" w:cs="Calibri"/>
          <w:sz w:val="20"/>
          <w:szCs w:val="20"/>
          <w:lang w:val="en-AU"/>
        </w:rPr>
        <w:t>, Jonathan Penm</w:t>
      </w:r>
      <w:r>
        <w:rPr>
          <w:rFonts w:ascii="Calibri" w:hAnsi="Calibri" w:cs="Calibri"/>
          <w:sz w:val="20"/>
          <w:szCs w:val="20"/>
          <w:vertAlign w:val="superscript"/>
          <w:lang w:val="en-AU"/>
        </w:rPr>
        <w:t>1,4</w:t>
      </w:r>
      <w:r>
        <w:rPr>
          <w:rFonts w:ascii="Calibri" w:hAnsi="Calibri" w:cs="Calibri"/>
          <w:sz w:val="20"/>
          <w:szCs w:val="20"/>
          <w:lang w:val="en-AU"/>
        </w:rPr>
        <w:t>, Toni Riley</w:t>
      </w:r>
      <w:r>
        <w:rPr>
          <w:rFonts w:ascii="Calibri" w:hAnsi="Calibri" w:cs="Calibri"/>
          <w:sz w:val="20"/>
          <w:szCs w:val="20"/>
          <w:vertAlign w:val="superscript"/>
          <w:lang w:val="en-AU"/>
        </w:rPr>
        <w:t>5</w:t>
      </w:r>
      <w:r>
        <w:rPr>
          <w:rFonts w:ascii="Calibri" w:hAnsi="Calibri" w:cs="Calibri"/>
          <w:sz w:val="20"/>
          <w:szCs w:val="20"/>
          <w:lang w:val="en-AU"/>
        </w:rPr>
        <w:t>, Stephanie Mathieson</w:t>
      </w:r>
      <w:r>
        <w:rPr>
          <w:rFonts w:ascii="Calibri" w:hAnsi="Calibri" w:cs="Calibri"/>
          <w:sz w:val="20"/>
          <w:szCs w:val="20"/>
          <w:vertAlign w:val="superscript"/>
          <w:lang w:val="en-AU"/>
        </w:rPr>
        <w:t>1</w:t>
      </w:r>
      <w:r w:rsidR="00176882">
        <w:rPr>
          <w:rFonts w:ascii="Calibri" w:hAnsi="Calibri" w:cs="Calibri"/>
          <w:sz w:val="20"/>
          <w:szCs w:val="20"/>
          <w:vertAlign w:val="superscript"/>
          <w:lang w:val="en-AU"/>
        </w:rPr>
        <w:t>,</w:t>
      </w:r>
      <w:r w:rsidR="00CA60A2">
        <w:rPr>
          <w:rFonts w:ascii="Calibri" w:hAnsi="Calibri" w:cs="Calibri"/>
          <w:sz w:val="20"/>
          <w:szCs w:val="20"/>
          <w:vertAlign w:val="superscript"/>
          <w:lang w:val="en-AU"/>
        </w:rPr>
        <w:t>3</w:t>
      </w:r>
      <w:r w:rsidR="00711813" w:rsidRPr="004E5450">
        <w:rPr>
          <w:rFonts w:ascii="Calibri" w:hAnsi="Calibri" w:cs="Calibri"/>
          <w:sz w:val="20"/>
          <w:szCs w:val="20"/>
          <w:lang w:val="en-AU"/>
        </w:rPr>
        <w:t xml:space="preserve">. </w:t>
      </w:r>
      <w:r>
        <w:rPr>
          <w:rFonts w:ascii="Calibri" w:hAnsi="Calibri" w:cs="Calibri"/>
          <w:sz w:val="20"/>
          <w:szCs w:val="20"/>
          <w:lang w:val="en-AU"/>
        </w:rPr>
        <w:t xml:space="preserve">Sydney Pharmacy School, The University of </w:t>
      </w:r>
      <w:r w:rsidRPr="00CF746B">
        <w:rPr>
          <w:rFonts w:ascii="Calibri" w:hAnsi="Calibri" w:cs="Calibri"/>
          <w:sz w:val="20"/>
          <w:szCs w:val="20"/>
          <w:lang w:val="en-AU"/>
        </w:rPr>
        <w:t>Sydney</w:t>
      </w:r>
      <w:r>
        <w:rPr>
          <w:rFonts w:ascii="Calibri" w:hAnsi="Calibri" w:cs="Calibri"/>
          <w:sz w:val="20"/>
          <w:szCs w:val="20"/>
          <w:vertAlign w:val="superscript"/>
          <w:lang w:val="en-AU"/>
        </w:rPr>
        <w:t>1</w:t>
      </w:r>
      <w:r>
        <w:rPr>
          <w:rFonts w:ascii="Calibri" w:hAnsi="Calibri" w:cs="Calibri"/>
          <w:sz w:val="20"/>
          <w:szCs w:val="20"/>
          <w:lang w:val="en-AU"/>
        </w:rPr>
        <w:t>, Sydney. NSW, Australia; Institute for Musculoskeletal Health, Sydney Local Health District</w:t>
      </w:r>
      <w:r w:rsidR="0053448C">
        <w:rPr>
          <w:rFonts w:ascii="Calibri" w:hAnsi="Calibri" w:cs="Calibri"/>
          <w:sz w:val="20"/>
          <w:szCs w:val="20"/>
          <w:vertAlign w:val="superscript"/>
          <w:lang w:val="en-AU"/>
        </w:rPr>
        <w:t>2</w:t>
      </w:r>
      <w:r w:rsidR="0053448C">
        <w:rPr>
          <w:rFonts w:ascii="Calibri" w:hAnsi="Calibri" w:cs="Calibri"/>
          <w:sz w:val="20"/>
          <w:szCs w:val="20"/>
          <w:lang w:val="en-AU"/>
        </w:rPr>
        <w:t>, Sydney</w:t>
      </w:r>
      <w:r>
        <w:rPr>
          <w:rFonts w:ascii="Calibri" w:hAnsi="Calibri" w:cs="Calibri"/>
          <w:sz w:val="20"/>
          <w:szCs w:val="20"/>
          <w:lang w:val="en-AU"/>
        </w:rPr>
        <w:t>, NSW, Australia; Sydney Musculoskeletal Health, The University of Sydney</w:t>
      </w:r>
      <w:r>
        <w:rPr>
          <w:rFonts w:ascii="Calibri" w:hAnsi="Calibri" w:cs="Calibri"/>
          <w:sz w:val="20"/>
          <w:szCs w:val="20"/>
          <w:vertAlign w:val="superscript"/>
          <w:lang w:val="en-AU"/>
        </w:rPr>
        <w:t>3</w:t>
      </w:r>
      <w:r>
        <w:rPr>
          <w:rFonts w:ascii="Calibri" w:hAnsi="Calibri" w:cs="Calibri"/>
          <w:sz w:val="20"/>
          <w:szCs w:val="20"/>
          <w:lang w:val="en-AU"/>
        </w:rPr>
        <w:t>, Sydney, NSW, Australia, Department of Pharmacy, Prince of Wales Hospital</w:t>
      </w:r>
      <w:r>
        <w:rPr>
          <w:rFonts w:ascii="Calibri" w:hAnsi="Calibri" w:cs="Calibri"/>
          <w:sz w:val="20"/>
          <w:szCs w:val="20"/>
          <w:vertAlign w:val="superscript"/>
          <w:lang w:val="en-AU"/>
        </w:rPr>
        <w:t>4</w:t>
      </w:r>
      <w:r>
        <w:rPr>
          <w:rFonts w:ascii="Calibri" w:hAnsi="Calibri" w:cs="Calibri"/>
          <w:sz w:val="20"/>
          <w:szCs w:val="20"/>
          <w:lang w:val="en-AU"/>
        </w:rPr>
        <w:t>, Randwick, NSW, Australia; Return Unwanted Medicines</w:t>
      </w:r>
      <w:r>
        <w:rPr>
          <w:rFonts w:ascii="Calibri" w:hAnsi="Calibri" w:cs="Calibri"/>
          <w:sz w:val="20"/>
          <w:szCs w:val="20"/>
          <w:vertAlign w:val="superscript"/>
          <w:lang w:val="en-AU"/>
        </w:rPr>
        <w:t>5</w:t>
      </w:r>
      <w:r>
        <w:rPr>
          <w:rFonts w:ascii="Calibri" w:hAnsi="Calibri" w:cs="Calibri"/>
          <w:sz w:val="20"/>
          <w:szCs w:val="20"/>
          <w:lang w:val="en-AU"/>
        </w:rPr>
        <w:t>, Cheltenham, VIC, Australia</w:t>
      </w:r>
      <w:r w:rsidR="00245406">
        <w:rPr>
          <w:rFonts w:ascii="Calibri" w:hAnsi="Calibri" w:cs="Calibri"/>
          <w:sz w:val="20"/>
          <w:szCs w:val="20"/>
          <w:lang w:val="en-AU"/>
        </w:rPr>
        <w:t>.</w:t>
      </w:r>
      <w:r w:rsidR="00711813" w:rsidRPr="004E5450">
        <w:rPr>
          <w:rFonts w:ascii="Calibri" w:hAnsi="Calibri" w:cs="Calibri"/>
          <w:sz w:val="20"/>
          <w:szCs w:val="20"/>
          <w:lang w:val="en-AU"/>
        </w:rPr>
        <w:t xml:space="preserve"> </w:t>
      </w:r>
    </w:p>
    <w:p w14:paraId="6D05E7B3" w14:textId="057FC112"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1696BB89" w14:textId="65818A55" w:rsidR="00711813" w:rsidRPr="00B45C55" w:rsidRDefault="00711813" w:rsidP="00711813">
      <w:pPr>
        <w:jc w:val="both"/>
        <w:rPr>
          <w:rFonts w:ascii="Calibri" w:hAnsi="Calibri" w:cs="Calibri"/>
          <w:sz w:val="20"/>
          <w:szCs w:val="20"/>
          <w:lang w:val="en-AU"/>
        </w:rPr>
      </w:pPr>
      <w:r w:rsidRPr="00B45C55">
        <w:rPr>
          <w:rFonts w:ascii="Calibri" w:hAnsi="Calibri" w:cs="Calibri"/>
          <w:b/>
          <w:bCs/>
          <w:sz w:val="20"/>
          <w:szCs w:val="20"/>
          <w:lang w:val="en-AU"/>
        </w:rPr>
        <w:t>Introduction.</w:t>
      </w:r>
      <w:r w:rsidRPr="00B45C55">
        <w:rPr>
          <w:rFonts w:ascii="Calibri" w:hAnsi="Calibri" w:cs="Calibri"/>
          <w:sz w:val="20"/>
          <w:szCs w:val="20"/>
          <w:lang w:val="en-AU"/>
        </w:rPr>
        <w:t xml:space="preserve"> </w:t>
      </w:r>
      <w:r w:rsidR="00CF746B" w:rsidRPr="00B45C55">
        <w:rPr>
          <w:rFonts w:ascii="Calibri" w:hAnsi="Calibri" w:cs="Calibri"/>
          <w:color w:val="0E101A"/>
          <w:sz w:val="20"/>
          <w:szCs w:val="20"/>
        </w:rPr>
        <w:t xml:space="preserve">Reducing the availability of unused medicines is a component of ensuring medication safety. However, current literature on how best to increase medicine disposal is unclear. </w:t>
      </w:r>
    </w:p>
    <w:p w14:paraId="2FA533D6" w14:textId="2820269A" w:rsidR="00711813" w:rsidRPr="00B45C55" w:rsidRDefault="00711813" w:rsidP="00711813">
      <w:pPr>
        <w:jc w:val="both"/>
        <w:rPr>
          <w:rFonts w:ascii="Calibri" w:hAnsi="Calibri" w:cs="Calibri"/>
          <w:sz w:val="20"/>
          <w:szCs w:val="20"/>
          <w:lang w:val="en-AU"/>
        </w:rPr>
      </w:pPr>
      <w:r w:rsidRPr="00B45C55">
        <w:rPr>
          <w:rFonts w:ascii="Calibri" w:hAnsi="Calibri" w:cs="Calibri"/>
          <w:b/>
          <w:bCs/>
          <w:sz w:val="20"/>
          <w:szCs w:val="20"/>
          <w:lang w:val="en-AU"/>
        </w:rPr>
        <w:t>Aims</w:t>
      </w:r>
      <w:r w:rsidRPr="00B45C55">
        <w:rPr>
          <w:rFonts w:ascii="Calibri" w:hAnsi="Calibri" w:cs="Calibri"/>
          <w:sz w:val="20"/>
          <w:szCs w:val="20"/>
          <w:lang w:val="en-AU"/>
        </w:rPr>
        <w:t xml:space="preserve">. </w:t>
      </w:r>
      <w:r w:rsidR="007B2F95" w:rsidRPr="00B45C55">
        <w:rPr>
          <w:rFonts w:ascii="Calibri" w:hAnsi="Calibri" w:cs="Calibri"/>
          <w:sz w:val="20"/>
          <w:szCs w:val="20"/>
          <w:lang w:val="en-AU"/>
        </w:rPr>
        <w:t>T</w:t>
      </w:r>
      <w:r w:rsidR="00145675" w:rsidRPr="00B45C55">
        <w:rPr>
          <w:rFonts w:ascii="Calibri" w:hAnsi="Calibri" w:cs="Calibri"/>
          <w:sz w:val="20"/>
          <w:szCs w:val="20"/>
          <w:lang w:val="en-AU"/>
        </w:rPr>
        <w:t>o investigate the effectiveness of interventions designed to increase safe and appropriate medicine disposal.</w:t>
      </w:r>
    </w:p>
    <w:p w14:paraId="6FC27401" w14:textId="604DC6BF" w:rsidR="00711813" w:rsidRPr="00B45C55" w:rsidRDefault="00711813" w:rsidP="00CF746B">
      <w:pPr>
        <w:jc w:val="both"/>
        <w:rPr>
          <w:rFonts w:ascii="Calibri" w:hAnsi="Calibri" w:cs="Calibri"/>
          <w:sz w:val="20"/>
          <w:szCs w:val="20"/>
          <w:lang w:val="en-AU"/>
        </w:rPr>
      </w:pPr>
      <w:r w:rsidRPr="00B45C55">
        <w:rPr>
          <w:rFonts w:ascii="Calibri" w:hAnsi="Calibri" w:cs="Calibri"/>
          <w:b/>
          <w:bCs/>
          <w:sz w:val="20"/>
          <w:szCs w:val="20"/>
          <w:lang w:val="en-AU"/>
        </w:rPr>
        <w:t>Methods</w:t>
      </w:r>
      <w:r w:rsidRPr="00B45C55">
        <w:rPr>
          <w:rFonts w:ascii="Calibri" w:hAnsi="Calibri" w:cs="Calibri"/>
          <w:sz w:val="20"/>
          <w:szCs w:val="20"/>
          <w:lang w:val="en-AU"/>
        </w:rPr>
        <w:t xml:space="preserve">. </w:t>
      </w:r>
      <w:r w:rsidR="00CF746B" w:rsidRPr="00B45C55">
        <w:rPr>
          <w:rFonts w:ascii="Calibri" w:hAnsi="Calibri" w:cs="Calibri"/>
          <w:color w:val="0E101A"/>
          <w:sz w:val="20"/>
          <w:szCs w:val="20"/>
        </w:rPr>
        <w:t xml:space="preserve">Electronic databases </w:t>
      </w:r>
      <w:r w:rsidR="00726BCA" w:rsidRPr="00B45C55">
        <w:rPr>
          <w:rFonts w:ascii="Calibri" w:hAnsi="Calibri" w:cs="Calibri"/>
          <w:color w:val="0E101A"/>
          <w:sz w:val="20"/>
          <w:szCs w:val="20"/>
        </w:rPr>
        <w:t xml:space="preserve">and trial registries </w:t>
      </w:r>
      <w:r w:rsidR="00CF746B" w:rsidRPr="00B45C55">
        <w:rPr>
          <w:rFonts w:ascii="Calibri" w:hAnsi="Calibri" w:cs="Calibri"/>
          <w:color w:val="0E101A"/>
          <w:sz w:val="20"/>
          <w:szCs w:val="20"/>
        </w:rPr>
        <w:t>were searched from inception to 16</w:t>
      </w:r>
      <w:r w:rsidR="00CF746B" w:rsidRPr="00B45C55">
        <w:rPr>
          <w:rFonts w:ascii="Calibri" w:hAnsi="Calibri" w:cs="Calibri"/>
          <w:color w:val="0E101A"/>
          <w:sz w:val="20"/>
          <w:szCs w:val="20"/>
          <w:vertAlign w:val="superscript"/>
        </w:rPr>
        <w:t>th</w:t>
      </w:r>
      <w:r w:rsidR="00CF746B" w:rsidRPr="00B45C55">
        <w:rPr>
          <w:rFonts w:ascii="Calibri" w:hAnsi="Calibri" w:cs="Calibri"/>
          <w:color w:val="0E101A"/>
          <w:sz w:val="20"/>
          <w:szCs w:val="20"/>
        </w:rPr>
        <w:t xml:space="preserve"> February 2024 for </w:t>
      </w:r>
      <w:proofErr w:type="spellStart"/>
      <w:r w:rsidR="00CF746B" w:rsidRPr="00B45C55">
        <w:rPr>
          <w:rFonts w:ascii="Calibri" w:hAnsi="Calibri" w:cs="Calibri"/>
          <w:color w:val="0E101A"/>
          <w:sz w:val="20"/>
          <w:szCs w:val="20"/>
        </w:rPr>
        <w:t>randomised</w:t>
      </w:r>
      <w:proofErr w:type="spellEnd"/>
      <w:r w:rsidR="00CF746B" w:rsidRPr="00B45C55">
        <w:rPr>
          <w:rFonts w:ascii="Calibri" w:hAnsi="Calibri" w:cs="Calibri"/>
          <w:color w:val="0E101A"/>
          <w:sz w:val="20"/>
          <w:szCs w:val="20"/>
        </w:rPr>
        <w:t xml:space="preserve"> trials of interventions aiming to increase medicine disposal</w:t>
      </w:r>
      <w:r w:rsidR="00932806" w:rsidRPr="00B45C55">
        <w:rPr>
          <w:rFonts w:ascii="Calibri" w:hAnsi="Calibri" w:cs="Calibri"/>
          <w:color w:val="0E101A"/>
          <w:sz w:val="20"/>
          <w:szCs w:val="20"/>
        </w:rPr>
        <w:t xml:space="preserve"> (of any drug class)</w:t>
      </w:r>
      <w:r w:rsidR="00CF746B" w:rsidRPr="00B45C55">
        <w:rPr>
          <w:rFonts w:ascii="Calibri" w:hAnsi="Calibri" w:cs="Calibri"/>
          <w:color w:val="0E101A"/>
          <w:sz w:val="20"/>
          <w:szCs w:val="20"/>
        </w:rPr>
        <w:t xml:space="preserve"> compared to any control. The primary outcome was the change in the proportion of participants that disposed their unused medicines. Secondary outcomes were changes in patient (e.g. knowledge of disposal strategies), population (e.g. poisonings), environmental and economic outcomes. The original Cochrane tool was used to assess risk of bias. Random-effects meta-analysis was conducted</w:t>
      </w:r>
      <w:r w:rsidR="009E3243" w:rsidRPr="00B45C55">
        <w:rPr>
          <w:rFonts w:ascii="Calibri" w:hAnsi="Calibri" w:cs="Calibri"/>
          <w:color w:val="0E101A"/>
          <w:sz w:val="20"/>
          <w:szCs w:val="20"/>
        </w:rPr>
        <w:t>.</w:t>
      </w:r>
      <w:r w:rsidR="00CF746B" w:rsidRPr="00B45C55">
        <w:rPr>
          <w:rFonts w:ascii="Calibri" w:hAnsi="Calibri" w:cs="Calibri"/>
          <w:color w:val="0E101A"/>
          <w:sz w:val="20"/>
          <w:szCs w:val="20"/>
        </w:rPr>
        <w:t xml:space="preserve"> Grading of Recommendations Assessment, Development and Evaluation (GRADE) was used to assess the quality of evidence.</w:t>
      </w:r>
      <w:r w:rsidR="002E1D0F" w:rsidRPr="00B45C55">
        <w:rPr>
          <w:rFonts w:ascii="Calibri" w:hAnsi="Calibri" w:cs="Calibri"/>
          <w:color w:val="0E101A"/>
          <w:sz w:val="20"/>
          <w:szCs w:val="20"/>
        </w:rPr>
        <w:t xml:space="preserve"> PROSPERO registration: CRD42023491797.</w:t>
      </w:r>
    </w:p>
    <w:p w14:paraId="11E92D59" w14:textId="65D3514A" w:rsidR="00711813" w:rsidRPr="00B45C55" w:rsidRDefault="00711813" w:rsidP="002E1D0F">
      <w:pPr>
        <w:autoSpaceDE w:val="0"/>
        <w:autoSpaceDN w:val="0"/>
        <w:adjustRightInd w:val="0"/>
        <w:rPr>
          <w:rFonts w:ascii="Calibri" w:hAnsi="Calibri" w:cs="Calibri"/>
          <w:sz w:val="20"/>
          <w:szCs w:val="20"/>
          <w:highlight w:val="yellow"/>
        </w:rPr>
      </w:pPr>
      <w:r w:rsidRPr="00B45C55">
        <w:rPr>
          <w:rFonts w:ascii="Calibri" w:hAnsi="Calibri" w:cs="Calibri"/>
          <w:b/>
          <w:bCs/>
          <w:sz w:val="20"/>
          <w:szCs w:val="20"/>
          <w:lang w:val="en-AU"/>
        </w:rPr>
        <w:t>Results.</w:t>
      </w:r>
      <w:r w:rsidRPr="00B45C55">
        <w:rPr>
          <w:rFonts w:ascii="Calibri" w:hAnsi="Calibri" w:cs="Calibri"/>
          <w:sz w:val="20"/>
          <w:szCs w:val="20"/>
          <w:lang w:val="en-AU"/>
        </w:rPr>
        <w:t xml:space="preserve"> </w:t>
      </w:r>
      <w:r w:rsidR="00CF746B" w:rsidRPr="00B45C55">
        <w:rPr>
          <w:rFonts w:ascii="Calibri" w:hAnsi="Calibri" w:cs="Calibri"/>
          <w:sz w:val="20"/>
          <w:szCs w:val="20"/>
        </w:rPr>
        <w:t>Twenty-three studies were included</w:t>
      </w:r>
      <w:r w:rsidR="004D5650" w:rsidRPr="00B45C55">
        <w:rPr>
          <w:rFonts w:ascii="Calibri" w:hAnsi="Calibri" w:cs="Calibri"/>
          <w:sz w:val="20"/>
          <w:szCs w:val="20"/>
        </w:rPr>
        <w:t xml:space="preserve"> </w:t>
      </w:r>
      <w:r w:rsidR="00515980" w:rsidRPr="00B45C55">
        <w:rPr>
          <w:rFonts w:ascii="Calibri" w:hAnsi="Calibri" w:cs="Calibri"/>
          <w:sz w:val="20"/>
          <w:szCs w:val="20"/>
        </w:rPr>
        <w:t xml:space="preserve">(18 studies </w:t>
      </w:r>
      <w:r w:rsidR="00BF0779" w:rsidRPr="00B45C55">
        <w:rPr>
          <w:rFonts w:ascii="Calibri" w:hAnsi="Calibri" w:cs="Calibri"/>
          <w:sz w:val="20"/>
          <w:szCs w:val="20"/>
          <w:lang w:val="en-GB" w:eastAsia="ko-KR"/>
        </w:rPr>
        <w:t xml:space="preserve">published from 2016 to 2023 </w:t>
      </w:r>
      <w:r w:rsidR="00515980" w:rsidRPr="00B45C55">
        <w:rPr>
          <w:rFonts w:ascii="Calibri" w:hAnsi="Calibri" w:cs="Calibri"/>
          <w:sz w:val="20"/>
          <w:szCs w:val="20"/>
        </w:rPr>
        <w:t>plus 5 ongoing trials)</w:t>
      </w:r>
      <w:r w:rsidR="004D5650" w:rsidRPr="00B45C55">
        <w:rPr>
          <w:rFonts w:ascii="Calibri" w:hAnsi="Calibri" w:cs="Calibri"/>
          <w:sz w:val="20"/>
          <w:szCs w:val="20"/>
          <w:lang w:val="en-GB" w:eastAsia="ko-KR"/>
        </w:rPr>
        <w:t xml:space="preserve">. </w:t>
      </w:r>
      <w:r w:rsidR="00AB6FB1" w:rsidRPr="00B45C55">
        <w:rPr>
          <w:rFonts w:ascii="Calibri" w:hAnsi="Calibri" w:cs="Calibri"/>
          <w:sz w:val="20"/>
          <w:szCs w:val="20"/>
          <w:lang w:val="en-GB" w:eastAsia="ko-KR"/>
        </w:rPr>
        <w:t xml:space="preserve">The mean age of the </w:t>
      </w:r>
      <w:r w:rsidR="006536FC" w:rsidRPr="00B45C55">
        <w:rPr>
          <w:rFonts w:ascii="Calibri" w:hAnsi="Calibri" w:cs="Calibri"/>
          <w:sz w:val="20"/>
          <w:szCs w:val="20"/>
          <w:lang w:val="en-GB" w:eastAsia="ko-KR"/>
        </w:rPr>
        <w:t xml:space="preserve">5,347 participants </w:t>
      </w:r>
      <w:r w:rsidR="00AB6FB1" w:rsidRPr="00B45C55">
        <w:rPr>
          <w:rFonts w:ascii="Calibri" w:hAnsi="Calibri" w:cs="Calibri"/>
          <w:sz w:val="20"/>
          <w:szCs w:val="20"/>
          <w:lang w:val="en-GB" w:eastAsia="ko-KR"/>
        </w:rPr>
        <w:t>was</w:t>
      </w:r>
      <w:r w:rsidR="006536FC" w:rsidRPr="00B45C55">
        <w:rPr>
          <w:rFonts w:ascii="Calibri" w:hAnsi="Calibri" w:cs="Calibri"/>
          <w:sz w:val="20"/>
          <w:szCs w:val="20"/>
          <w:lang w:val="en-GB" w:eastAsia="ko-KR"/>
        </w:rPr>
        <w:t xml:space="preserve"> 43.2 years (SD</w:t>
      </w:r>
      <w:r w:rsidR="00C36B14" w:rsidRPr="00B45C55">
        <w:rPr>
          <w:rFonts w:ascii="Calibri" w:hAnsi="Calibri" w:cs="Calibri"/>
          <w:sz w:val="20"/>
          <w:szCs w:val="20"/>
          <w:lang w:val="en-GB" w:eastAsia="ko-KR"/>
        </w:rPr>
        <w:t xml:space="preserve"> </w:t>
      </w:r>
      <w:r w:rsidR="006536FC" w:rsidRPr="00B45C55">
        <w:rPr>
          <w:rFonts w:ascii="Calibri" w:hAnsi="Calibri" w:cs="Calibri"/>
          <w:sz w:val="20"/>
          <w:szCs w:val="20"/>
          <w:lang w:val="en-GB" w:eastAsia="ko-KR"/>
        </w:rPr>
        <w:t>13.6)</w:t>
      </w:r>
      <w:r w:rsidR="00AB6FB1" w:rsidRPr="00B45C55">
        <w:rPr>
          <w:rFonts w:ascii="Calibri" w:hAnsi="Calibri" w:cs="Calibri"/>
          <w:sz w:val="20"/>
          <w:szCs w:val="20"/>
          <w:lang w:val="en-GB" w:eastAsia="ko-KR"/>
        </w:rPr>
        <w:t xml:space="preserve">. </w:t>
      </w:r>
      <w:r w:rsidR="004D5650" w:rsidRPr="00B45C55">
        <w:rPr>
          <w:rFonts w:ascii="Calibri" w:hAnsi="Calibri" w:cs="Calibri"/>
          <w:sz w:val="20"/>
          <w:szCs w:val="20"/>
          <w:lang w:val="en-GB" w:eastAsia="ko-KR"/>
        </w:rPr>
        <w:t>A</w:t>
      </w:r>
      <w:proofErr w:type="spellStart"/>
      <w:r w:rsidR="00CF746B" w:rsidRPr="00B45C55">
        <w:rPr>
          <w:rFonts w:ascii="Calibri" w:hAnsi="Calibri" w:cs="Calibri"/>
          <w:sz w:val="20"/>
          <w:szCs w:val="20"/>
        </w:rPr>
        <w:t>ll</w:t>
      </w:r>
      <w:proofErr w:type="spellEnd"/>
      <w:r w:rsidR="00CF746B" w:rsidRPr="00B45C55">
        <w:rPr>
          <w:rFonts w:ascii="Calibri" w:hAnsi="Calibri" w:cs="Calibri"/>
          <w:sz w:val="20"/>
          <w:szCs w:val="20"/>
        </w:rPr>
        <w:t xml:space="preserve"> </w:t>
      </w:r>
      <w:r w:rsidR="004D5650" w:rsidRPr="00B45C55">
        <w:rPr>
          <w:rFonts w:ascii="Calibri" w:hAnsi="Calibri" w:cs="Calibri"/>
          <w:sz w:val="20"/>
          <w:szCs w:val="20"/>
        </w:rPr>
        <w:t xml:space="preserve">studies were </w:t>
      </w:r>
      <w:r w:rsidR="00CF746B" w:rsidRPr="00B45C55">
        <w:rPr>
          <w:rFonts w:ascii="Calibri" w:hAnsi="Calibri" w:cs="Calibri"/>
          <w:sz w:val="20"/>
          <w:szCs w:val="20"/>
        </w:rPr>
        <w:t>conducted in North America and targeted opioid analgesic disposal. Interventional strategies of providing disposal kits (Risk Ratio [RR] 1.42, 95% Confidence Interval [CI] 1.13 to 1.79, moderate evidence), education alone (RR 1.47, 95%CI 1.03 to 2.09, low evidence), education plus reminder prompts (RR 2.51, 95%CI 1.30 to 4.83, moderate evidence), and education plus disposal kits (RR 2.00, 95%CI 1.03 to 3.87, moderate evidence) increased disposal compared to routine practice. Secondary outcomes were infrequently reported.</w:t>
      </w:r>
    </w:p>
    <w:p w14:paraId="52CC39DD" w14:textId="2C9A8A2A" w:rsidR="00F97620" w:rsidRPr="00B45C55" w:rsidRDefault="00711813" w:rsidP="00711813">
      <w:pPr>
        <w:jc w:val="both"/>
        <w:rPr>
          <w:rFonts w:ascii="Calibri" w:hAnsi="Calibri" w:cs="Calibri"/>
          <w:sz w:val="20"/>
          <w:szCs w:val="20"/>
          <w:lang w:val="en-AU"/>
        </w:rPr>
      </w:pPr>
      <w:r w:rsidRPr="00B45C55">
        <w:rPr>
          <w:rFonts w:ascii="Calibri" w:hAnsi="Calibri" w:cs="Calibri"/>
          <w:b/>
          <w:bCs/>
          <w:sz w:val="20"/>
          <w:szCs w:val="20"/>
          <w:lang w:val="en-AU"/>
        </w:rPr>
        <w:t>Discussion.</w:t>
      </w:r>
      <w:r w:rsidRPr="00B45C55">
        <w:rPr>
          <w:rFonts w:ascii="Calibri" w:hAnsi="Calibri" w:cs="Calibri"/>
          <w:sz w:val="20"/>
          <w:szCs w:val="20"/>
          <w:lang w:val="en-AU"/>
        </w:rPr>
        <w:t xml:space="preserve"> </w:t>
      </w:r>
      <w:r w:rsidR="00CF746B" w:rsidRPr="00B45C55">
        <w:rPr>
          <w:rFonts w:ascii="Calibri" w:hAnsi="Calibri" w:cs="Calibri"/>
          <w:color w:val="0E101A"/>
          <w:sz w:val="20"/>
          <w:szCs w:val="20"/>
        </w:rPr>
        <w:t>There is low to moderate quality of evidence supporting the use of interventions to increase the disposal of unused medicines compared to routine practice.</w:t>
      </w:r>
      <w:r w:rsidR="005C547C" w:rsidRPr="00B45C55">
        <w:rPr>
          <w:rFonts w:ascii="Calibri" w:hAnsi="Calibri" w:cs="Calibri"/>
          <w:color w:val="0E101A"/>
          <w:sz w:val="20"/>
          <w:szCs w:val="20"/>
        </w:rPr>
        <w:t xml:space="preserve"> Secondary outcomes were recorded infrequently and may be a pathway for future research.</w:t>
      </w:r>
    </w:p>
    <w:sectPr w:rsidR="00F97620" w:rsidRPr="00B45C55"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Sylfae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02188"/>
    <w:rsid w:val="000056AC"/>
    <w:rsid w:val="00076A51"/>
    <w:rsid w:val="000A4FA6"/>
    <w:rsid w:val="000F6DFB"/>
    <w:rsid w:val="00145675"/>
    <w:rsid w:val="001559F4"/>
    <w:rsid w:val="00176882"/>
    <w:rsid w:val="001F218A"/>
    <w:rsid w:val="002226BB"/>
    <w:rsid w:val="00223DAA"/>
    <w:rsid w:val="002272B0"/>
    <w:rsid w:val="00245406"/>
    <w:rsid w:val="002E1D0F"/>
    <w:rsid w:val="00300B92"/>
    <w:rsid w:val="0037679E"/>
    <w:rsid w:val="00387491"/>
    <w:rsid w:val="003A1ACE"/>
    <w:rsid w:val="003B0BB8"/>
    <w:rsid w:val="00444224"/>
    <w:rsid w:val="00483B05"/>
    <w:rsid w:val="004D5650"/>
    <w:rsid w:val="004E28B9"/>
    <w:rsid w:val="004E50FC"/>
    <w:rsid w:val="004E5450"/>
    <w:rsid w:val="00515980"/>
    <w:rsid w:val="0053448C"/>
    <w:rsid w:val="00595E5B"/>
    <w:rsid w:val="0059609A"/>
    <w:rsid w:val="00597659"/>
    <w:rsid w:val="005C547C"/>
    <w:rsid w:val="005D1700"/>
    <w:rsid w:val="005E48A2"/>
    <w:rsid w:val="005E62BE"/>
    <w:rsid w:val="006536FC"/>
    <w:rsid w:val="006C23F0"/>
    <w:rsid w:val="006D14CC"/>
    <w:rsid w:val="00711813"/>
    <w:rsid w:val="00724E3C"/>
    <w:rsid w:val="00726BCA"/>
    <w:rsid w:val="00743C46"/>
    <w:rsid w:val="00760B17"/>
    <w:rsid w:val="00777A64"/>
    <w:rsid w:val="007B2F95"/>
    <w:rsid w:val="007D0DC1"/>
    <w:rsid w:val="007D3646"/>
    <w:rsid w:val="008166A0"/>
    <w:rsid w:val="0085463C"/>
    <w:rsid w:val="00885303"/>
    <w:rsid w:val="008909C9"/>
    <w:rsid w:val="00932806"/>
    <w:rsid w:val="00947B77"/>
    <w:rsid w:val="009C3AC3"/>
    <w:rsid w:val="009E2228"/>
    <w:rsid w:val="009E3243"/>
    <w:rsid w:val="009F06D6"/>
    <w:rsid w:val="00A0448E"/>
    <w:rsid w:val="00A266B4"/>
    <w:rsid w:val="00A35510"/>
    <w:rsid w:val="00A71DEF"/>
    <w:rsid w:val="00A972D0"/>
    <w:rsid w:val="00AB6FB1"/>
    <w:rsid w:val="00AE2DA6"/>
    <w:rsid w:val="00B0628F"/>
    <w:rsid w:val="00B45051"/>
    <w:rsid w:val="00B45C55"/>
    <w:rsid w:val="00BC5FCC"/>
    <w:rsid w:val="00BF0779"/>
    <w:rsid w:val="00C132EC"/>
    <w:rsid w:val="00C36B14"/>
    <w:rsid w:val="00C60A71"/>
    <w:rsid w:val="00CA60A2"/>
    <w:rsid w:val="00CB02B7"/>
    <w:rsid w:val="00CF746B"/>
    <w:rsid w:val="00D23AB1"/>
    <w:rsid w:val="00D55F3B"/>
    <w:rsid w:val="00D62CF8"/>
    <w:rsid w:val="00DA2731"/>
    <w:rsid w:val="00EC1052"/>
    <w:rsid w:val="00EF12F3"/>
    <w:rsid w:val="00F1749E"/>
    <w:rsid w:val="00F43BBA"/>
    <w:rsid w:val="00F90F73"/>
    <w:rsid w:val="00F97620"/>
    <w:rsid w:val="00FC2C4B"/>
    <w:rsid w:val="00FE18A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F68DF"/>
  <w15:chartTrackingRefBased/>
  <w15:docId w15:val="{8A1FFEAA-C7AC-514F-A3C5-3AF1A2DB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paragraph" w:styleId="Revision">
    <w:name w:val="Revision"/>
    <w:hidden/>
    <w:uiPriority w:val="99"/>
    <w:semiHidden/>
    <w:rsid w:val="00245406"/>
    <w:rPr>
      <w:sz w:val="24"/>
      <w:szCs w:val="24"/>
      <w:lang w:val="en-US" w:eastAsia="en-US"/>
    </w:rPr>
  </w:style>
  <w:style w:type="character" w:styleId="CommentReference">
    <w:name w:val="annotation reference"/>
    <w:basedOn w:val="DefaultParagraphFont"/>
    <w:uiPriority w:val="99"/>
    <w:semiHidden/>
    <w:unhideWhenUsed/>
    <w:rsid w:val="00726BCA"/>
    <w:rPr>
      <w:sz w:val="16"/>
      <w:szCs w:val="16"/>
    </w:rPr>
  </w:style>
  <w:style w:type="paragraph" w:styleId="CommentText">
    <w:name w:val="annotation text"/>
    <w:basedOn w:val="Normal"/>
    <w:link w:val="CommentTextChar"/>
    <w:uiPriority w:val="99"/>
    <w:semiHidden/>
    <w:unhideWhenUsed/>
    <w:rsid w:val="00726BCA"/>
    <w:rPr>
      <w:sz w:val="20"/>
      <w:szCs w:val="20"/>
    </w:rPr>
  </w:style>
  <w:style w:type="character" w:customStyle="1" w:styleId="CommentTextChar">
    <w:name w:val="Comment Text Char"/>
    <w:basedOn w:val="DefaultParagraphFont"/>
    <w:link w:val="CommentText"/>
    <w:uiPriority w:val="99"/>
    <w:semiHidden/>
    <w:rsid w:val="00726BCA"/>
    <w:rPr>
      <w:lang w:val="en-US" w:eastAsia="en-US"/>
    </w:rPr>
  </w:style>
  <w:style w:type="paragraph" w:styleId="CommentSubject">
    <w:name w:val="annotation subject"/>
    <w:basedOn w:val="CommentText"/>
    <w:next w:val="CommentText"/>
    <w:link w:val="CommentSubjectChar"/>
    <w:uiPriority w:val="99"/>
    <w:semiHidden/>
    <w:unhideWhenUsed/>
    <w:rsid w:val="00726BCA"/>
    <w:rPr>
      <w:b/>
      <w:bCs/>
    </w:rPr>
  </w:style>
  <w:style w:type="character" w:customStyle="1" w:styleId="CommentSubjectChar">
    <w:name w:val="Comment Subject Char"/>
    <w:basedOn w:val="CommentTextChar"/>
    <w:link w:val="CommentSubject"/>
    <w:uiPriority w:val="99"/>
    <w:semiHidden/>
    <w:rsid w:val="00726BC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710B7-8A32-4B22-BA04-55FF9343FD3D}">
  <ds:schemaRefs>
    <ds:schemaRef ds:uri="http://schemas.microsoft.com/sharepoint/v3/contenttype/forms"/>
  </ds:schemaRefs>
</ds:datastoreItem>
</file>

<file path=customXml/itemProps2.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2638</CharactersWithSpaces>
  <SharedDoc>false</SharedDoc>
  <HLinks>
    <vt:vector size="6" baseType="variant">
      <vt:variant>
        <vt:i4>131183</vt:i4>
      </vt:variant>
      <vt:variant>
        <vt:i4>0</vt:i4>
      </vt:variant>
      <vt:variant>
        <vt:i4>0</vt:i4>
      </vt:variant>
      <vt:variant>
        <vt:i4>5</vt:i4>
      </vt:variant>
      <vt:variant>
        <vt:lpwstr>mailto:ascept-apfp-apsa@expertevents.com.au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Amy Ma</cp:lastModifiedBy>
  <cp:revision>2</cp:revision>
  <cp:lastPrinted>2013-06-13T05:15:00Z</cp:lastPrinted>
  <dcterms:created xsi:type="dcterms:W3CDTF">2024-08-28T06:46:00Z</dcterms:created>
  <dcterms:modified xsi:type="dcterms:W3CDTF">2024-08-28T06:46:00Z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