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7414" w14:textId="19F1313F" w:rsidR="00370D6E" w:rsidRPr="00CD10D3" w:rsidRDefault="00370D6E" w:rsidP="00CD10D3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</w:pP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C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ontrolled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Release</w:t>
      </w:r>
      <w:r w:rsidR="00E73B9D" w:rsidRPr="00CD10D3">
        <w:rPr>
          <w:rFonts w:ascii="Arial" w:eastAsia="Calibri" w:hAnsi="Arial" w:cs="Calibri"/>
          <w:b/>
          <w:bCs/>
          <w:kern w:val="0"/>
          <w:sz w:val="20"/>
          <w:szCs w:val="20"/>
          <w:lang w:eastAsia="zh-CN"/>
          <w14:ligatures w14:val="none"/>
        </w:rPr>
        <w:t xml:space="preserve"> of </w:t>
      </w:r>
      <w:r w:rsidR="00E73B9D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P</w:t>
      </w:r>
      <w:r w:rsidR="00E73B9D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rednisone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 w:eastAsia="zh-CN"/>
          <w14:ligatures w14:val="none"/>
        </w:rPr>
        <w:t xml:space="preserve"> from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S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ilk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F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ibroin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M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icroneedles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Targets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 w:eastAsia="zh-CN"/>
          <w14:ligatures w14:val="none"/>
        </w:rPr>
        <w:t xml:space="preserve"> 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11β-hydroxysteroid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D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ehydrogenase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T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ype 1 </w:t>
      </w:r>
      <w:r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E</w:t>
      </w:r>
      <w:r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>nzyme (11β-HSD1)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For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H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ypertrophic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S</w:t>
      </w:r>
      <w:r w:rsidR="00973DC0" w:rsidRPr="00CD10D3">
        <w:rPr>
          <w:rFonts w:ascii="Arial" w:eastAsia="Calibri" w:hAnsi="Arial" w:cs="Calibri"/>
          <w:b/>
          <w:bCs/>
          <w:kern w:val="0"/>
          <w:sz w:val="20"/>
          <w:szCs w:val="20"/>
          <w:lang w:val="en-US"/>
          <w14:ligatures w14:val="none"/>
        </w:rPr>
        <w:t xml:space="preserve">cars </w:t>
      </w:r>
      <w:r w:rsidR="00973DC0" w:rsidRPr="00CD10D3">
        <w:rPr>
          <w:rFonts w:ascii="Arial" w:eastAsia="Calibri" w:hAnsi="Arial" w:cs="Calibri" w:hint="eastAsia"/>
          <w:b/>
          <w:bCs/>
          <w:kern w:val="0"/>
          <w:sz w:val="20"/>
          <w:szCs w:val="20"/>
          <w:lang w:val="en-US" w:eastAsia="zh-CN"/>
          <w14:ligatures w14:val="none"/>
        </w:rPr>
        <w:t>Treatment</w:t>
      </w:r>
    </w:p>
    <w:p w14:paraId="0762F2D8" w14:textId="77777777" w:rsidR="00370D6E" w:rsidRPr="00CD10D3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</w:pPr>
      <w:proofErr w:type="spellStart"/>
      <w:r w:rsidRPr="00CD10D3">
        <w:rPr>
          <w:rFonts w:ascii="Arial" w:eastAsia="Calibri" w:hAnsi="Arial" w:cs="Calibri"/>
          <w:b/>
          <w:kern w:val="0"/>
          <w:sz w:val="18"/>
          <w:szCs w:val="18"/>
          <w:u w:val="single"/>
          <w14:ligatures w14:val="none"/>
        </w:rPr>
        <w:t>Qinghan</w:t>
      </w:r>
      <w:proofErr w:type="spellEnd"/>
      <w:r w:rsidRPr="00CD10D3">
        <w:rPr>
          <w:rFonts w:ascii="Arial" w:eastAsia="Calibri" w:hAnsi="Arial" w:cs="Calibri"/>
          <w:b/>
          <w:kern w:val="0"/>
          <w:sz w:val="18"/>
          <w:szCs w:val="18"/>
          <w:u w:val="single"/>
          <w14:ligatures w14:val="none"/>
        </w:rPr>
        <w:t xml:space="preserve"> Tang</w:t>
      </w:r>
      <w:r w:rsidRPr="00CD10D3">
        <w:rPr>
          <w:rFonts w:ascii="Arial" w:eastAsia="Calibri" w:hAnsi="Arial" w:cs="Calibri"/>
          <w:b/>
          <w:kern w:val="0"/>
          <w:sz w:val="18"/>
          <w:szCs w:val="18"/>
          <w:u w:val="single"/>
          <w:vertAlign w:val="superscript"/>
          <w14:ligatures w14:val="none"/>
        </w:rPr>
        <w:t xml:space="preserve">1,2, </w:t>
      </w:r>
      <w:proofErr w:type="spellStart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Ruihan</w:t>
      </w:r>
      <w:proofErr w:type="spellEnd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Jiang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1,2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Kevin Tsai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3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Mark Cooper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3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Yiwei Wang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2,3,4</w:t>
      </w:r>
    </w:p>
    <w:p w14:paraId="7A0AF832" w14:textId="77777777" w:rsidR="00370D6E" w:rsidRPr="00CD10D3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Jiangsu Provincial Engineering Research </w:t>
      </w:r>
      <w:proofErr w:type="spellStart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Center</w:t>
      </w:r>
      <w:proofErr w:type="spellEnd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of TCM External Medication Development and Application, Nanjing University of Chinese Medicine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1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Nanjing, </w:t>
      </w:r>
      <w:r w:rsidRPr="00CD10D3">
        <w:rPr>
          <w:rFonts w:ascii="Arial" w:eastAsia="Calibri" w:hAnsi="Arial" w:cs="Calibri" w:hint="eastAsia"/>
          <w:bCs/>
          <w:kern w:val="0"/>
          <w:sz w:val="18"/>
          <w:szCs w:val="18"/>
          <w:lang w:eastAsia="zh-CN"/>
          <w14:ligatures w14:val="none"/>
        </w:rPr>
        <w:t>Jiangsu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PR China.</w:t>
      </w:r>
    </w:p>
    <w:p w14:paraId="11E08B0E" w14:textId="77777777" w:rsidR="00370D6E" w:rsidRPr="00CD10D3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School of Pharmacy, Nanjing University of Chinese Medicine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2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Nanjing, </w:t>
      </w:r>
      <w:r w:rsidRPr="00CD10D3">
        <w:rPr>
          <w:rFonts w:ascii="Arial" w:eastAsia="Calibri" w:hAnsi="Arial" w:cs="Calibri" w:hint="eastAsia"/>
          <w:bCs/>
          <w:kern w:val="0"/>
          <w:sz w:val="18"/>
          <w:szCs w:val="18"/>
          <w:lang w:eastAsia="zh-CN"/>
          <w14:ligatures w14:val="none"/>
        </w:rPr>
        <w:t>Jiangsu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</w:t>
      </w:r>
      <w:r w:rsidR="00973DC0" w:rsidRPr="00CD10D3">
        <w:rPr>
          <w:rFonts w:ascii="Arial" w:eastAsia="Calibri" w:hAnsi="Arial" w:cs="Calibri" w:hint="eastAsia"/>
          <w:bCs/>
          <w:kern w:val="0"/>
          <w:sz w:val="18"/>
          <w:szCs w:val="18"/>
          <w:lang w:eastAsia="zh-CN"/>
          <w14:ligatures w14:val="none"/>
        </w:rPr>
        <w:t>Jiangsu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PR China.</w:t>
      </w:r>
    </w:p>
    <w:p w14:paraId="6E435959" w14:textId="77777777" w:rsidR="00370D6E" w:rsidRPr="00CD10D3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ANZAC Research Institute, Concord Hospital, The University of Sydney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3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Concord West, NSW, Australia.</w:t>
      </w:r>
    </w:p>
    <w:p w14:paraId="28C78D31" w14:textId="77777777" w:rsidR="00370D6E" w:rsidRPr="00CD10D3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Jiangsu Collaborative Innovation </w:t>
      </w:r>
      <w:proofErr w:type="spellStart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Center</w:t>
      </w:r>
      <w:proofErr w:type="spellEnd"/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of Chinese Medicinal Resources Industrialization, Nanjing University of Chinese Medicine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vertAlign w:val="superscript"/>
          <w14:ligatures w14:val="none"/>
        </w:rPr>
        <w:t>4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Nanjing, </w:t>
      </w:r>
      <w:r w:rsidRPr="00CD10D3">
        <w:rPr>
          <w:rFonts w:ascii="Arial" w:eastAsia="Calibri" w:hAnsi="Arial" w:cs="Calibri" w:hint="eastAsia"/>
          <w:bCs/>
          <w:kern w:val="0"/>
          <w:sz w:val="18"/>
          <w:szCs w:val="18"/>
          <w:lang w:eastAsia="zh-CN"/>
          <w14:ligatures w14:val="none"/>
        </w:rPr>
        <w:t>Jiangsu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, PR China.</w:t>
      </w:r>
    </w:p>
    <w:p w14:paraId="0A804CD2" w14:textId="77777777" w:rsidR="00370D6E" w:rsidRPr="00C315D2" w:rsidRDefault="00370D6E" w:rsidP="00370D6E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3646BB28" w14:textId="2BB2FF67" w:rsidR="002C470D" w:rsidRPr="00CD10D3" w:rsidRDefault="00370D6E" w:rsidP="00370D6E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  <w:t>Background and aims.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Hypertrophic scars (HS), characterized by excessive fibroblast activation, myofibroblast differentiation, and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abnormal 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collagen deposition,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can lead to 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symptoms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such as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itching, pain, and joint dysfunction. Current intralesional glucocorticoid injections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are limited by 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uneven drug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distribution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local </w:t>
      </w:r>
      <w:r w:rsidR="00E73B9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tissue </w:t>
      </w:r>
      <w:r w:rsidR="00973DC0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atrophy, pigmentation changes, pain, poor patient compliance, and systemic side effects.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To address these challenges, w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e developed a double-layer microneedle system target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s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local glucocorticoid metabolism within HS.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This system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co-delivers prednisone (an inactive glucocorticoid) and an 11β-HSD1 agonist,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enabling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the scar tissue's endogenous 11β-hydroxysteroid dehydrogenase type 1 (11β-HSD1) enzyme to locally convert prednisone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in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to its active form.</w:t>
      </w:r>
    </w:p>
    <w:p w14:paraId="1687659A" w14:textId="3B03DBB7" w:rsidR="00370D6E" w:rsidRPr="00CD10D3" w:rsidRDefault="00370D6E" w:rsidP="00370D6E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18"/>
          <w:szCs w:val="18"/>
          <w:lang w:val="en-GB"/>
          <w14:ligatures w14:val="none"/>
        </w:rPr>
      </w:pPr>
      <w:r w:rsidRPr="00CD10D3"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  <w:t>Methods.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Silk fibroin microneedles were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fabricated using a v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acuum injection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technique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.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The m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orphology was examined via scanning electron microscopy</w:t>
      </w:r>
      <w:r w:rsidR="004C4C03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(SEM)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,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and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mechanical strength was </w:t>
      </w:r>
      <w:proofErr w:type="spellStart"/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evaluted</w:t>
      </w:r>
      <w:proofErr w:type="spellEnd"/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using a force-displacement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testing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system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. In vitro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skin penetration capability was assessed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on rat skin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using methylene blue and H&amp;E staining.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The modulation of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11β-HSD1 and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the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anti-scarring efficacy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were verified through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molecular docking, fibroblast cell culture, a murine hypertrophic scar model, and a </w:t>
      </w:r>
      <w:r w:rsidR="00F06D11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global </w:t>
      </w:r>
      <w:r w:rsidR="002C470D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11β-HSD1-deficient mouse model.</w:t>
      </w:r>
    </w:p>
    <w:p w14:paraId="5AAB495C" w14:textId="77777777" w:rsidR="00CD10D3" w:rsidRDefault="00370D6E" w:rsidP="00CD10D3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</w:pPr>
      <w:r w:rsidRPr="00CD10D3">
        <w:rPr>
          <w:rFonts w:ascii="Arial" w:eastAsia="Calibri" w:hAnsi="Arial" w:cs="Calibri"/>
          <w:b/>
          <w:bCs/>
          <w:kern w:val="0"/>
          <w:sz w:val="18"/>
          <w:szCs w:val="18"/>
          <w14:ligatures w14:val="none"/>
        </w:rPr>
        <w:t>Results.</w:t>
      </w:r>
      <w:r w:rsidRPr="00CD10D3">
        <w:rPr>
          <w:rFonts w:ascii="Calibri" w:eastAsia="Calibri" w:hAnsi="Calibri" w:cs="Times New Roman"/>
          <w:kern w:val="0"/>
          <w:sz w:val="18"/>
          <w:szCs w:val="18"/>
          <w:lang w:val="en-GB"/>
          <w14:ligatures w14:val="none"/>
        </w:rPr>
        <w:t xml:space="preserve">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A double-layer microneedle patch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with a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smooth surface topography (Figure 1) and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sufficient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mechanical strength was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successfully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developed. </w:t>
      </w:r>
      <w:r w:rsidR="002C470D" w:rsidRPr="00CD10D3">
        <w:rPr>
          <w:rFonts w:ascii="Arial" w:eastAsia="Calibri" w:hAnsi="Arial" w:cs="Calibri"/>
          <w:i/>
          <w:iCs/>
          <w:kern w:val="0"/>
          <w:sz w:val="18"/>
          <w:szCs w:val="18"/>
          <w:lang w:val="en-US"/>
          <w14:ligatures w14:val="none"/>
        </w:rPr>
        <w:t>In vitro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evaluations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demonstrated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: 1)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effective penetration through the epidermis i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nto rat dermis, and 2) sustained release of both therapeutics over 7 days. Cellular assays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showed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no cytotoxicity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and revealed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reduced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expression of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Type I collagen and α-SMA expression. In HS animal models, histological analysis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indicated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decreased scar thickness and collagen deposition, while molecular studies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confirmed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activat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ion of the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 11β-HSD1 pathway and </w:t>
      </w:r>
      <w:r w:rsidR="00F06D11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 xml:space="preserve">downregulation of </w:t>
      </w:r>
      <w:r w:rsidR="002C470D" w:rsidRPr="00CD10D3"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  <w:t>HS biomarkers</w:t>
      </w:r>
      <w:r w:rsidR="004C4C03"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>.</w:t>
      </w:r>
      <w:r w:rsidR="00CD10D3" w:rsidRPr="00CD10D3"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  <w:t xml:space="preserve"> </w:t>
      </w:r>
    </w:p>
    <w:p w14:paraId="54DE4092" w14:textId="45BC0F7F" w:rsidR="00CD10D3" w:rsidRPr="00CD10D3" w:rsidRDefault="00CD10D3" w:rsidP="00CD10D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</w:pPr>
      <w:r w:rsidRPr="00CD10D3"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  <w:t>Conclusion.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  <w:t>By targeting 11β-HSD1-mediated local glucocorticoid metabolism, the double-layer microneedle enables precise intralesional delivery and enhanced therapeutic efficacy in HS treatment. This approach boosts scar tissue 11β-HSD1 activity, promoting the rapid enzymatic conversion of prednisone to prednisolone and resulting in a synergistic therapeutic effect.</w:t>
      </w:r>
    </w:p>
    <w:p w14:paraId="6D8F7E3C" w14:textId="77777777" w:rsidR="00CD10D3" w:rsidRPr="00CD10D3" w:rsidRDefault="00CD10D3" w:rsidP="00CD10D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</w:pPr>
      <w:r w:rsidRPr="00CD10D3">
        <w:rPr>
          <w:rFonts w:ascii="Arial" w:eastAsia="Calibri" w:hAnsi="Arial" w:cs="Calibri"/>
          <w:b/>
          <w:kern w:val="0"/>
          <w:sz w:val="18"/>
          <w:szCs w:val="18"/>
          <w14:ligatures w14:val="none"/>
        </w:rPr>
        <w:t>References:</w:t>
      </w:r>
      <w:r w:rsidRPr="00CD10D3">
        <w:rPr>
          <w:rFonts w:ascii="Arial" w:eastAsia="Calibri" w:hAnsi="Arial" w:cs="Calibri"/>
          <w:bCs/>
          <w:kern w:val="0"/>
          <w:sz w:val="18"/>
          <w:szCs w:val="18"/>
          <w14:ligatures w14:val="none"/>
        </w:rPr>
        <w:t xml:space="preserve"> </w:t>
      </w:r>
    </w:p>
    <w:p w14:paraId="34EAA6B4" w14:textId="77777777" w:rsidR="00CD10D3" w:rsidRPr="00CD10D3" w:rsidRDefault="00CD10D3" w:rsidP="00CD10D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  <w:t xml:space="preserve">(1) Tsai K H Y, Shi H K, Parungao R J, et al. Skin 11β-hydroxysteroid dehydrogenase type 1 enzyme expression regulates burn wound healing and can be targeted to modify scar characteristics [J]. Burns &amp; Trauma, 2023, 11: tkac052 </w:t>
      </w:r>
    </w:p>
    <w:p w14:paraId="290A183D" w14:textId="77777777" w:rsidR="00CD10D3" w:rsidRPr="00CD10D3" w:rsidRDefault="00CD10D3" w:rsidP="00CD10D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</w:pPr>
      <w:r w:rsidRPr="00CD10D3"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  <w:t>(2) Zhang Q, Shi L, He H, et al. Down-Regulating Scar Formation by Microneedles Directly via a Mechanical Communication Pathway [J]. ACS nano, 2022, 16(7): 10163-78.</w:t>
      </w:r>
    </w:p>
    <w:p w14:paraId="635183F5" w14:textId="6D6009A3" w:rsidR="00370D6E" w:rsidRPr="00CD10D3" w:rsidRDefault="00370D6E" w:rsidP="00370D6E">
      <w:pPr>
        <w:spacing w:after="0" w:line="240" w:lineRule="auto"/>
        <w:jc w:val="both"/>
        <w:rPr>
          <w:sz w:val="18"/>
          <w:szCs w:val="18"/>
        </w:rPr>
      </w:pPr>
    </w:p>
    <w:p w14:paraId="494044FD" w14:textId="77777777" w:rsidR="004C4C03" w:rsidRPr="00CD10D3" w:rsidRDefault="004C4C03" w:rsidP="00BA5A82">
      <w:pPr>
        <w:spacing w:after="0" w:line="240" w:lineRule="auto"/>
        <w:jc w:val="center"/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</w:pPr>
      <w:r w:rsidRPr="00CD10D3">
        <w:rPr>
          <w:noProof/>
          <w:sz w:val="18"/>
          <w:szCs w:val="18"/>
          <w14:ligatures w14:val="none"/>
        </w:rPr>
        <w:lastRenderedPageBreak/>
        <w:drawing>
          <wp:inline distT="0" distB="0" distL="0" distR="0" wp14:anchorId="75ACC12F" wp14:editId="7F7C30E4">
            <wp:extent cx="4501662" cy="2766250"/>
            <wp:effectExtent l="0" t="0" r="0" b="2540"/>
            <wp:docPr id="4601571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571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7113" cy="285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88D5" w14:textId="77777777" w:rsidR="004C4C03" w:rsidRPr="00CD10D3" w:rsidRDefault="004C4C03" w:rsidP="004C4C03">
      <w:pPr>
        <w:spacing w:after="0" w:line="240" w:lineRule="auto"/>
        <w:jc w:val="both"/>
        <w:rPr>
          <w:rFonts w:ascii="Arial" w:eastAsia="Calibri" w:hAnsi="Arial" w:cs="Calibri"/>
          <w:kern w:val="0"/>
          <w:sz w:val="18"/>
          <w:szCs w:val="18"/>
          <w:lang w:val="en-GB"/>
          <w14:ligatures w14:val="none"/>
        </w:rPr>
      </w:pPr>
      <w:r w:rsidRPr="00CD10D3">
        <w:rPr>
          <w:rFonts w:ascii="Arial" w:eastAsia="Calibri" w:hAnsi="Arial" w:cs="Calibri"/>
          <w:b/>
          <w:bCs/>
          <w:kern w:val="0"/>
          <w:sz w:val="18"/>
          <w:szCs w:val="18"/>
          <w:lang w:val="en-GB"/>
          <w14:ligatures w14:val="none"/>
        </w:rPr>
        <w:t xml:space="preserve">Figure 1. </w:t>
      </w:r>
      <w:r w:rsidRPr="00CD10D3">
        <w:rPr>
          <w:rFonts w:ascii="Arial" w:eastAsia="Calibri" w:hAnsi="Arial" w:cs="Calibri"/>
          <w:kern w:val="0"/>
          <w:sz w:val="18"/>
          <w:szCs w:val="18"/>
          <w:lang w:val="en-GB"/>
          <w14:ligatures w14:val="none"/>
        </w:rPr>
        <w:t xml:space="preserve">Microscopy and SEM images of double-layer microneedles. (A) Optical photos of double-layer microneedles; SEM image of (B-D) double-layer microneedles (scale: 500 </w:t>
      </w:r>
      <w:proofErr w:type="spellStart"/>
      <w:r w:rsidRPr="00CD10D3">
        <w:rPr>
          <w:rFonts w:ascii="Arial" w:eastAsia="Calibri" w:hAnsi="Arial" w:cs="Calibri"/>
          <w:kern w:val="0"/>
          <w:sz w:val="18"/>
          <w:szCs w:val="18"/>
          <w:lang w:val="en-GB"/>
          <w14:ligatures w14:val="none"/>
        </w:rPr>
        <w:t>μm</w:t>
      </w:r>
      <w:proofErr w:type="spellEnd"/>
      <w:r w:rsidRPr="00CD10D3">
        <w:rPr>
          <w:rFonts w:ascii="Arial" w:eastAsia="Calibri" w:hAnsi="Arial" w:cs="Calibri"/>
          <w:kern w:val="0"/>
          <w:sz w:val="18"/>
          <w:szCs w:val="18"/>
          <w:lang w:val="en-GB"/>
          <w14:ligatures w14:val="none"/>
        </w:rPr>
        <w:t>)</w:t>
      </w:r>
    </w:p>
    <w:p w14:paraId="39C534F0" w14:textId="77777777" w:rsidR="004C4C03" w:rsidRPr="00CD10D3" w:rsidRDefault="004C4C03" w:rsidP="00370D6E">
      <w:pPr>
        <w:spacing w:after="0" w:line="240" w:lineRule="auto"/>
        <w:jc w:val="both"/>
        <w:rPr>
          <w:rFonts w:ascii="Arial" w:eastAsia="Calibri" w:hAnsi="Arial" w:cs="Calibri"/>
          <w:kern w:val="0"/>
          <w:sz w:val="18"/>
          <w:szCs w:val="18"/>
          <w:lang w:val="en-US"/>
          <w14:ligatures w14:val="none"/>
        </w:rPr>
      </w:pPr>
    </w:p>
    <w:p w14:paraId="4D36687F" w14:textId="77777777" w:rsidR="00E90FB1" w:rsidRPr="00CD10D3" w:rsidRDefault="00E90FB1" w:rsidP="002C470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18"/>
          <w:szCs w:val="18"/>
          <w:lang w:val="en-US"/>
          <w14:ligatures w14:val="none"/>
        </w:rPr>
      </w:pPr>
    </w:p>
    <w:p w14:paraId="3AAC0E48" w14:textId="00F79E14" w:rsidR="00587B67" w:rsidRPr="00CD10D3" w:rsidRDefault="00587B67" w:rsidP="00E8551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587B67" w:rsidRPr="00CD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0D"/>
    <w:rsid w:val="00024DFE"/>
    <w:rsid w:val="0017646A"/>
    <w:rsid w:val="00257F45"/>
    <w:rsid w:val="002C470D"/>
    <w:rsid w:val="00370D6E"/>
    <w:rsid w:val="003C41FA"/>
    <w:rsid w:val="003D4BFD"/>
    <w:rsid w:val="004B18DC"/>
    <w:rsid w:val="004C4C03"/>
    <w:rsid w:val="004F5B8A"/>
    <w:rsid w:val="00512857"/>
    <w:rsid w:val="00585C48"/>
    <w:rsid w:val="00587B67"/>
    <w:rsid w:val="006B2732"/>
    <w:rsid w:val="0074447F"/>
    <w:rsid w:val="007D7984"/>
    <w:rsid w:val="007E4932"/>
    <w:rsid w:val="008276B0"/>
    <w:rsid w:val="008D5520"/>
    <w:rsid w:val="008F3B3B"/>
    <w:rsid w:val="009071D8"/>
    <w:rsid w:val="0091599E"/>
    <w:rsid w:val="00930B1B"/>
    <w:rsid w:val="00973DC0"/>
    <w:rsid w:val="00991F09"/>
    <w:rsid w:val="009D1605"/>
    <w:rsid w:val="00A25624"/>
    <w:rsid w:val="00A340A7"/>
    <w:rsid w:val="00AF1934"/>
    <w:rsid w:val="00B208E3"/>
    <w:rsid w:val="00B341B7"/>
    <w:rsid w:val="00BA5A82"/>
    <w:rsid w:val="00BE39D1"/>
    <w:rsid w:val="00BE55B9"/>
    <w:rsid w:val="00C329A6"/>
    <w:rsid w:val="00C55831"/>
    <w:rsid w:val="00CD10D3"/>
    <w:rsid w:val="00D83845"/>
    <w:rsid w:val="00E73B9D"/>
    <w:rsid w:val="00E85519"/>
    <w:rsid w:val="00E90FB1"/>
    <w:rsid w:val="00EC170D"/>
    <w:rsid w:val="00F06D11"/>
    <w:rsid w:val="00F61116"/>
    <w:rsid w:val="00FC6D6E"/>
    <w:rsid w:val="00F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EAFC"/>
  <w15:chartTrackingRefBased/>
  <w15:docId w15:val="{1D3A3D55-B03B-744F-8A7A-075AD6C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E"/>
    <w:pPr>
      <w:spacing w:after="160" w:line="278" w:lineRule="auto"/>
    </w:pPr>
    <w:rPr>
      <w:rFonts w:eastAsia="宋体"/>
      <w:sz w:val="24"/>
      <w:lang w:val="en-AU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C1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7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70D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7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7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7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7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7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7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70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7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7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7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7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70D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512857"/>
    <w:rPr>
      <w:rFonts w:eastAsia="宋体"/>
      <w:sz w:val="24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B675FB-79DA-994F-B570-B9AB6DE2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2025-07-31T10:29:00Z</dcterms:created>
  <dcterms:modified xsi:type="dcterms:W3CDTF">2025-07-31T11:20:00Z</dcterms:modified>
</cp:coreProperties>
</file>