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FCB0A" w14:textId="6F9F7C4B" w:rsidR="00AE43D0" w:rsidRPr="00261226" w:rsidRDefault="00DB4FF8" w:rsidP="00AE43D0">
      <w:pPr>
        <w:pStyle w:val="Title"/>
      </w:pPr>
      <w:r w:rsidRPr="00DB4FF8">
        <w:t>Critical Minerals Research, Development and Demonstration Capability Assessment</w:t>
      </w:r>
    </w:p>
    <w:p w14:paraId="1247BB34" w14:textId="5E712B7D" w:rsidR="00DB4FF8" w:rsidRDefault="003B29F7" w:rsidP="00AE43D0">
      <w:pPr>
        <w:pStyle w:val="Authors"/>
        <w:rPr>
          <w:u w:val="single"/>
        </w:rPr>
      </w:pPr>
      <w:r w:rsidRPr="003B2C32">
        <w:rPr>
          <w:u w:val="single"/>
        </w:rPr>
        <w:t>B Delaval</w:t>
      </w:r>
      <w:r w:rsidR="00A21457" w:rsidRPr="00745768">
        <w:rPr>
          <w:vertAlign w:val="superscript"/>
        </w:rPr>
        <w:t>1</w:t>
      </w:r>
      <w:r w:rsidRPr="00C01AD0">
        <w:t>, C</w:t>
      </w:r>
      <w:r>
        <w:t xml:space="preserve"> </w:t>
      </w:r>
      <w:r w:rsidRPr="00C01AD0">
        <w:t>Goessler</w:t>
      </w:r>
      <w:r w:rsidR="00A21457">
        <w:rPr>
          <w:vertAlign w:val="superscript"/>
        </w:rPr>
        <w:t>2</w:t>
      </w:r>
      <w:r w:rsidRPr="00C01AD0">
        <w:t>, P</w:t>
      </w:r>
      <w:r>
        <w:t xml:space="preserve"> </w:t>
      </w:r>
      <w:r w:rsidRPr="00C01AD0">
        <w:t>Duong</w:t>
      </w:r>
      <w:r w:rsidR="00A21457">
        <w:rPr>
          <w:vertAlign w:val="superscript"/>
        </w:rPr>
        <w:t>3</w:t>
      </w:r>
      <w:r>
        <w:t>,</w:t>
      </w:r>
      <w:r w:rsidRPr="00C01AD0">
        <w:t xml:space="preserve"> </w:t>
      </w:r>
      <w:r>
        <w:t>N</w:t>
      </w:r>
      <w:r w:rsidR="00BB3462">
        <w:t xml:space="preserve"> Gonzalez-</w:t>
      </w:r>
      <w:r w:rsidRPr="008C16AB">
        <w:t>Castro</w:t>
      </w:r>
      <w:r w:rsidR="00A21457">
        <w:rPr>
          <w:vertAlign w:val="superscript"/>
        </w:rPr>
        <w:t>4</w:t>
      </w:r>
      <w:r>
        <w:t>, G Maloney</w:t>
      </w:r>
      <w:r w:rsidR="00A21457">
        <w:rPr>
          <w:vertAlign w:val="superscript"/>
        </w:rPr>
        <w:t>5</w:t>
      </w:r>
      <w:r>
        <w:t xml:space="preserve"> and M Temminghoff</w:t>
      </w:r>
      <w:r w:rsidR="00A21457">
        <w:rPr>
          <w:vertAlign w:val="superscript"/>
        </w:rPr>
        <w:t>6</w:t>
      </w:r>
    </w:p>
    <w:p w14:paraId="3331361D" w14:textId="4390FDF0" w:rsidR="00AE43D0" w:rsidRDefault="00AE43D0" w:rsidP="00AE43D0">
      <w:pPr>
        <w:pStyle w:val="AuthorsDetails"/>
      </w:pPr>
      <w:r>
        <w:t>1.</w:t>
      </w:r>
      <w:r w:rsidR="00A21457">
        <w:t xml:space="preserve"> Manager</w:t>
      </w:r>
      <w:r>
        <w:t xml:space="preserve">, </w:t>
      </w:r>
      <w:r w:rsidR="00A21457">
        <w:t>CSIRO</w:t>
      </w:r>
      <w:r>
        <w:t xml:space="preserve">, </w:t>
      </w:r>
      <w:r w:rsidR="00595A8A">
        <w:t>Clayton, Victoria, 316</w:t>
      </w:r>
      <w:r w:rsidR="0073724D">
        <w:t>8</w:t>
      </w:r>
      <w:r>
        <w:t>.</w:t>
      </w:r>
      <w:r w:rsidR="0073724D">
        <w:t xml:space="preserve"> </w:t>
      </w:r>
      <w:r w:rsidR="00EB64BA">
        <w:t>Beni.</w:t>
      </w:r>
      <w:r w:rsidR="009435B1">
        <w:t>D</w:t>
      </w:r>
      <w:r w:rsidR="00EB64BA">
        <w:t>elaval</w:t>
      </w:r>
      <w:r w:rsidR="0073724D">
        <w:t>@csiro.au</w:t>
      </w:r>
    </w:p>
    <w:p w14:paraId="4B85566B" w14:textId="141F1F59" w:rsidR="0073724D" w:rsidRDefault="00AE43D0" w:rsidP="0073724D">
      <w:pPr>
        <w:pStyle w:val="AuthorsDetails"/>
      </w:pPr>
      <w:r w:rsidRPr="00BD1080">
        <w:t>2.</w:t>
      </w:r>
      <w:r w:rsidR="0073724D" w:rsidRPr="0073724D">
        <w:t xml:space="preserve"> </w:t>
      </w:r>
      <w:r w:rsidR="0073724D">
        <w:t xml:space="preserve">Consultant, CSIRO, Clayton, Victoria, 3168. </w:t>
      </w:r>
      <w:r w:rsidR="00EB64BA">
        <w:t>Callum.</w:t>
      </w:r>
      <w:r w:rsidR="009435B1">
        <w:t>G</w:t>
      </w:r>
      <w:r w:rsidR="00EB64BA">
        <w:t>oessler</w:t>
      </w:r>
      <w:r w:rsidR="0073724D">
        <w:t>@csiro.au</w:t>
      </w:r>
    </w:p>
    <w:p w14:paraId="22863FBF" w14:textId="7178F1D4" w:rsidR="0073724D" w:rsidRDefault="0073724D" w:rsidP="0073724D">
      <w:pPr>
        <w:pStyle w:val="AuthorsDetails"/>
      </w:pPr>
      <w:r>
        <w:t xml:space="preserve">3. Consultant, CSIRO, Clayton, Victoria, 3168. </w:t>
      </w:r>
      <w:r w:rsidR="00EB64BA">
        <w:t>Persie.Duong</w:t>
      </w:r>
      <w:r>
        <w:t>@csiro.au</w:t>
      </w:r>
    </w:p>
    <w:p w14:paraId="39E4D6A3" w14:textId="3B7CAE04" w:rsidR="0073724D" w:rsidRDefault="0073724D" w:rsidP="0073724D">
      <w:pPr>
        <w:pStyle w:val="AuthorsDetails"/>
      </w:pPr>
      <w:r>
        <w:t>4.</w:t>
      </w:r>
      <w:r w:rsidRPr="0073724D">
        <w:t xml:space="preserve"> </w:t>
      </w:r>
      <w:r>
        <w:t xml:space="preserve">Consultant, CSIRO, Clayton, Victoria, 3168. </w:t>
      </w:r>
      <w:r w:rsidR="00EB64BA">
        <w:t>N</w:t>
      </w:r>
      <w:r w:rsidR="00BB3462">
        <w:t>.</w:t>
      </w:r>
      <w:r w:rsidR="009435B1">
        <w:t>G</w:t>
      </w:r>
      <w:r w:rsidR="00BB3462">
        <w:t>onzalez</w:t>
      </w:r>
      <w:r>
        <w:t>@csiro.au</w:t>
      </w:r>
    </w:p>
    <w:p w14:paraId="40586301" w14:textId="3A61A320" w:rsidR="0073724D" w:rsidRDefault="0073724D" w:rsidP="0073724D">
      <w:pPr>
        <w:pStyle w:val="AuthorsDetails"/>
      </w:pPr>
      <w:r>
        <w:t>5.</w:t>
      </w:r>
      <w:r w:rsidRPr="0073724D">
        <w:t xml:space="preserve"> </w:t>
      </w:r>
      <w:r w:rsidR="00E955A0" w:rsidRPr="00E955A0">
        <w:t xml:space="preserve">Intellectual </w:t>
      </w:r>
      <w:r w:rsidR="00967CEB">
        <w:t>Property Advisor</w:t>
      </w:r>
      <w:r>
        <w:t xml:space="preserve">, CSIRO, Clayton, Victoria, 3168. </w:t>
      </w:r>
      <w:r w:rsidR="00967CEB">
        <w:t>Greg.Maloney</w:t>
      </w:r>
      <w:r>
        <w:t>@csiro.au</w:t>
      </w:r>
    </w:p>
    <w:p w14:paraId="4C75E7D5" w14:textId="7D893F2D" w:rsidR="0073724D" w:rsidRDefault="0073724D" w:rsidP="0073724D">
      <w:pPr>
        <w:pStyle w:val="AuthorsDetails"/>
      </w:pPr>
      <w:r>
        <w:t>6.</w:t>
      </w:r>
      <w:r w:rsidRPr="0073724D">
        <w:t xml:space="preserve"> </w:t>
      </w:r>
      <w:r w:rsidR="00E955A0">
        <w:t>Associate Director</w:t>
      </w:r>
      <w:r>
        <w:t xml:space="preserve">, CSIRO, Clayton, Victoria, 3168. </w:t>
      </w:r>
      <w:r w:rsidR="009435B1">
        <w:t>Max.Temminghoff</w:t>
      </w:r>
      <w:r>
        <w:t>@csiro.au</w:t>
      </w:r>
    </w:p>
    <w:p w14:paraId="4ECD0E9E" w14:textId="740E95AD" w:rsidR="00AE43D0" w:rsidRPr="00F42E69" w:rsidRDefault="00AE43D0" w:rsidP="00AE43D0">
      <w:pPr>
        <w:pStyle w:val="Keywords"/>
        <w:rPr>
          <w:rStyle w:val="BodyTextChar"/>
        </w:rPr>
      </w:pPr>
      <w:r w:rsidRPr="00F42E69">
        <w:t>Keywords:</w:t>
      </w:r>
      <w:r>
        <w:t xml:space="preserve"> </w:t>
      </w:r>
      <w:r w:rsidR="004172CB">
        <w:t xml:space="preserve">Lithium, graphite, silicon, </w:t>
      </w:r>
      <w:r w:rsidR="0058057E">
        <w:t xml:space="preserve">cobalt, </w:t>
      </w:r>
      <w:r w:rsidR="004172CB">
        <w:t>rare earths,</w:t>
      </w:r>
      <w:r w:rsidR="0058057E">
        <w:t xml:space="preserve"> mid-stream, processing, </w:t>
      </w:r>
      <w:r w:rsidR="00AB6855">
        <w:t>capability assessment, collaboration opportunities</w:t>
      </w:r>
      <w:r w:rsidR="00AE77FE">
        <w:t>.</w:t>
      </w:r>
    </w:p>
    <w:p w14:paraId="2BB695D2" w14:textId="1A94E5B7" w:rsidR="00AE43D0" w:rsidRPr="00F80210" w:rsidRDefault="00AE43D0" w:rsidP="00AE43D0">
      <w:pPr>
        <w:pStyle w:val="Heading1"/>
      </w:pPr>
      <w:r w:rsidRPr="00F80210">
        <w:t>ABSTRACT</w:t>
      </w:r>
    </w:p>
    <w:p w14:paraId="2BF7841A" w14:textId="0699D31B" w:rsidR="009C31ED" w:rsidRDefault="00D41C83" w:rsidP="00AE43D0">
      <w:pPr>
        <w:pStyle w:val="BodyText"/>
      </w:pPr>
      <w:r w:rsidRPr="00D41C83">
        <w:t xml:space="preserve">With a rich endowment of critical minerals and a strategic </w:t>
      </w:r>
      <w:r w:rsidR="00B137A5">
        <w:t xml:space="preserve">priority </w:t>
      </w:r>
      <w:r w:rsidRPr="00D41C83">
        <w:t>to build sovereign processing capabilities, Australia is poised to be at the forefront of the energy transition</w:t>
      </w:r>
      <w:r w:rsidR="00E82D48">
        <w:t>, but r</w:t>
      </w:r>
      <w:r w:rsidR="00015CBF" w:rsidRPr="00015CBF">
        <w:t>obust RD&amp;D investment and international collaboration is essential in driving innovation and ensuring that Australia realises the opportunity of developing integrated supply chains.</w:t>
      </w:r>
    </w:p>
    <w:p w14:paraId="529960C1" w14:textId="015BF7BE" w:rsidR="006A01C4" w:rsidRDefault="009C31ED" w:rsidP="009C31ED">
      <w:pPr>
        <w:pStyle w:val="BodyText"/>
      </w:pPr>
      <w:r>
        <w:t xml:space="preserve">A limited understanding </w:t>
      </w:r>
      <w:r w:rsidR="00663F1B">
        <w:t xml:space="preserve">of </w:t>
      </w:r>
      <w:r w:rsidR="0B599278">
        <w:t xml:space="preserve">existing Australian capabilities and </w:t>
      </w:r>
      <w:r w:rsidR="006B407A">
        <w:t xml:space="preserve">the </w:t>
      </w:r>
      <w:r w:rsidR="0B599278">
        <w:t>available</w:t>
      </w:r>
      <w:r>
        <w:t xml:space="preserve"> technology mix required for establishing a domestic supply chain</w:t>
      </w:r>
      <w:r w:rsidR="006B407A">
        <w:t xml:space="preserve"> </w:t>
      </w:r>
      <w:r>
        <w:t xml:space="preserve">may hinder Australia’s progression within the sector. To inform these investments, decision makers need to understand what capability Australia can leverage, and where there are gaps that require collaborative efforts. </w:t>
      </w:r>
    </w:p>
    <w:p w14:paraId="6BCC340A" w14:textId="2D45F2BE" w:rsidR="009C1151" w:rsidRDefault="005E62B4" w:rsidP="009C31ED">
      <w:pPr>
        <w:pStyle w:val="BodyText"/>
      </w:pPr>
      <w:r>
        <w:t xml:space="preserve">To </w:t>
      </w:r>
      <w:r w:rsidR="00592066">
        <w:t xml:space="preserve">improve this understanding, the </w:t>
      </w:r>
      <w:r w:rsidR="00592066" w:rsidRPr="003873DE">
        <w:rPr>
          <w:i/>
          <w:iCs/>
        </w:rPr>
        <w:t>Critical Energy Minerals Research, Development and Demonstration Capability Assessment</w:t>
      </w:r>
      <w:r w:rsidR="009C31ED">
        <w:t xml:space="preserve"> provides an updated overview of the capabilities and technologies necessary to engage in mid-stream processing across four key supply chains: lithium-ion batteries (LIBs), solar photovoltaic (PV), wind, and electric vehicles. </w:t>
      </w:r>
    </w:p>
    <w:p w14:paraId="305B8810" w14:textId="77777777" w:rsidR="009C1151" w:rsidRPr="005E72AD" w:rsidRDefault="009C1151" w:rsidP="009C1151">
      <w:pPr>
        <w:pStyle w:val="BodyText"/>
      </w:pPr>
      <w:r>
        <w:t>The report series addresses the following</w:t>
      </w:r>
      <w:r w:rsidRPr="005E72AD">
        <w:t xml:space="preserve"> objectives:</w:t>
      </w:r>
    </w:p>
    <w:p w14:paraId="427FAB66" w14:textId="77777777" w:rsidR="009C1151" w:rsidRPr="005E72AD" w:rsidRDefault="009C1151" w:rsidP="009C1151">
      <w:pPr>
        <w:pStyle w:val="BodyText"/>
        <w:numPr>
          <w:ilvl w:val="0"/>
          <w:numId w:val="17"/>
        </w:numPr>
        <w:spacing w:before="120" w:line="264" w:lineRule="auto"/>
        <w:jc w:val="left"/>
      </w:pPr>
      <w:r>
        <w:t>Communicate</w:t>
      </w:r>
      <w:r w:rsidRPr="005E72AD">
        <w:t xml:space="preserve"> key mid-stream processing technologies, mature and emerging, </w:t>
      </w:r>
      <w:r>
        <w:t xml:space="preserve">that </w:t>
      </w:r>
      <w:r w:rsidRPr="005E72AD">
        <w:t>underpin the production of value-added products</w:t>
      </w:r>
      <w:r>
        <w:t>. This includes the production of intermediary products and advanced materials that are inputs into energy technology supply chains. Recycling of solar PV and LIBs is also included due to their importance and the overlapping capabilities with mid-stream processing.</w:t>
      </w:r>
    </w:p>
    <w:p w14:paraId="36DF3CE0" w14:textId="709E2D44" w:rsidR="009C1151" w:rsidRDefault="009C1151" w:rsidP="009C1151">
      <w:pPr>
        <w:pStyle w:val="BodyText"/>
        <w:numPr>
          <w:ilvl w:val="0"/>
          <w:numId w:val="17"/>
        </w:numPr>
        <w:spacing w:before="120" w:line="264" w:lineRule="auto"/>
        <w:jc w:val="left"/>
      </w:pPr>
      <w:r>
        <w:t>Showcase</w:t>
      </w:r>
      <w:r w:rsidRPr="005E72AD">
        <w:t xml:space="preserve"> </w:t>
      </w:r>
      <w:r>
        <w:t>Australian capabilities across key technology areas, namely fundamental and applied research, IP development, and demonstration</w:t>
      </w:r>
      <w:r w:rsidR="2BA44D06">
        <w:t xml:space="preserve"> projects</w:t>
      </w:r>
      <w:r>
        <w:t xml:space="preserve">. </w:t>
      </w:r>
    </w:p>
    <w:p w14:paraId="2D2F2888" w14:textId="77777777" w:rsidR="009C1151" w:rsidRPr="005E72AD" w:rsidRDefault="009C1151" w:rsidP="009C1151">
      <w:pPr>
        <w:pStyle w:val="BodyText"/>
        <w:numPr>
          <w:ilvl w:val="0"/>
          <w:numId w:val="17"/>
        </w:numPr>
        <w:spacing w:before="120" w:line="264" w:lineRule="auto"/>
        <w:jc w:val="left"/>
      </w:pPr>
      <w:r>
        <w:t>Summarise international capabilities across key technologies, and strategic objectives in upstream and downstream activities.</w:t>
      </w:r>
    </w:p>
    <w:p w14:paraId="0532A401" w14:textId="77777777" w:rsidR="009C1151" w:rsidRDefault="009C1151" w:rsidP="009C1151">
      <w:pPr>
        <w:pStyle w:val="BodyText"/>
        <w:numPr>
          <w:ilvl w:val="0"/>
          <w:numId w:val="17"/>
        </w:numPr>
        <w:spacing w:before="120" w:line="264" w:lineRule="auto"/>
        <w:jc w:val="left"/>
      </w:pPr>
      <w:r>
        <w:t xml:space="preserve">Synthesise </w:t>
      </w:r>
      <w:r w:rsidRPr="005E72AD">
        <w:t>opportunities for Australia to</w:t>
      </w:r>
      <w:r>
        <w:t xml:space="preserve"> grow </w:t>
      </w:r>
      <w:r w:rsidRPr="005E72AD">
        <w:t xml:space="preserve">domestic </w:t>
      </w:r>
      <w:r>
        <w:t xml:space="preserve">capability </w:t>
      </w:r>
      <w:r w:rsidRPr="005E72AD">
        <w:t>and to collaborate with international partners.</w:t>
      </w:r>
    </w:p>
    <w:p w14:paraId="0BCD114B" w14:textId="46C595DE" w:rsidR="3EF5CDF4" w:rsidRPr="00132700" w:rsidRDefault="009C31ED" w:rsidP="00132700">
      <w:pPr>
        <w:pStyle w:val="BodyText"/>
      </w:pPr>
      <w:r>
        <w:t>The report</w:t>
      </w:r>
      <w:r w:rsidR="00061C87">
        <w:t xml:space="preserve">, due for release in </w:t>
      </w:r>
      <w:r w:rsidR="00F478D0">
        <w:t>July 2024,</w:t>
      </w:r>
      <w:r>
        <w:t xml:space="preserve"> provides a blend of data driven insights and comprehensive technology analysis. Together with extensive industry consultation, this analysis identifies strengths and potential opportunities for critical minerals capability development in line with Australia’s mineral resources and energy technology manufacturing priorities.</w:t>
      </w:r>
    </w:p>
    <w:p w14:paraId="01CAB8E1" w14:textId="77777777" w:rsidR="00AE43D0" w:rsidRDefault="00AE43D0" w:rsidP="3EF5CDF4">
      <w:pPr>
        <w:pStyle w:val="BodyText"/>
      </w:pPr>
    </w:p>
    <w:p w14:paraId="388E89E3" w14:textId="77777777" w:rsidR="00AE43D0" w:rsidRDefault="00AE43D0" w:rsidP="3EF5CDF4">
      <w:pPr>
        <w:pStyle w:val="BodyText"/>
      </w:pPr>
    </w:p>
    <w:sectPr w:rsidR="00AE43D0" w:rsidSect="00FB50EC">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62E90" w14:textId="77777777" w:rsidR="00FB50EC" w:rsidRDefault="00FB50EC">
      <w:r>
        <w:separator/>
      </w:r>
    </w:p>
  </w:endnote>
  <w:endnote w:type="continuationSeparator" w:id="0">
    <w:p w14:paraId="2FCABFE9" w14:textId="77777777" w:rsidR="00FB50EC" w:rsidRDefault="00FB50EC">
      <w:r>
        <w:continuationSeparator/>
      </w:r>
    </w:p>
  </w:endnote>
  <w:endnote w:type="continuationNotice" w:id="1">
    <w:p w14:paraId="4715651E" w14:textId="77777777" w:rsidR="00FB50EC" w:rsidRDefault="00FB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8BC08" w14:textId="77777777" w:rsidR="00FB50EC" w:rsidRDefault="00FB50EC">
      <w:r>
        <w:separator/>
      </w:r>
    </w:p>
  </w:footnote>
  <w:footnote w:type="continuationSeparator" w:id="0">
    <w:p w14:paraId="668D5E99" w14:textId="77777777" w:rsidR="00FB50EC" w:rsidRDefault="00FB50EC">
      <w:r>
        <w:continuationSeparator/>
      </w:r>
    </w:p>
  </w:footnote>
  <w:footnote w:type="continuationNotice" w:id="1">
    <w:p w14:paraId="4EB17B62" w14:textId="77777777" w:rsidR="00FB50EC" w:rsidRDefault="00FB5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345BEF"/>
    <w:multiLevelType w:val="hybridMultilevel"/>
    <w:tmpl w:val="A98E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570C2"/>
    <w:multiLevelType w:val="hybridMultilevel"/>
    <w:tmpl w:val="2BC81630"/>
    <w:lvl w:ilvl="0" w:tplc="78363B46">
      <w:start w:val="1"/>
      <w:numFmt w:val="bullet"/>
      <w:lvlText w:val=""/>
      <w:lvlJc w:val="left"/>
      <w:pPr>
        <w:ind w:left="720" w:hanging="360"/>
      </w:pPr>
      <w:rPr>
        <w:rFonts w:ascii="Symbol" w:hAnsi="Symbol" w:hint="default"/>
      </w:rPr>
    </w:lvl>
    <w:lvl w:ilvl="1" w:tplc="3A44CB96">
      <w:start w:val="1"/>
      <w:numFmt w:val="bullet"/>
      <w:lvlText w:val="o"/>
      <w:lvlJc w:val="left"/>
      <w:pPr>
        <w:ind w:left="1440" w:hanging="360"/>
      </w:pPr>
      <w:rPr>
        <w:rFonts w:ascii="Courier New" w:hAnsi="Courier New" w:hint="default"/>
      </w:rPr>
    </w:lvl>
    <w:lvl w:ilvl="2" w:tplc="F03A730E">
      <w:start w:val="1"/>
      <w:numFmt w:val="bullet"/>
      <w:lvlText w:val=""/>
      <w:lvlJc w:val="left"/>
      <w:pPr>
        <w:ind w:left="2160" w:hanging="360"/>
      </w:pPr>
      <w:rPr>
        <w:rFonts w:ascii="Wingdings" w:hAnsi="Wingdings" w:hint="default"/>
      </w:rPr>
    </w:lvl>
    <w:lvl w:ilvl="3" w:tplc="789C6F6E">
      <w:start w:val="1"/>
      <w:numFmt w:val="bullet"/>
      <w:lvlText w:val=""/>
      <w:lvlJc w:val="left"/>
      <w:pPr>
        <w:ind w:left="2880" w:hanging="360"/>
      </w:pPr>
      <w:rPr>
        <w:rFonts w:ascii="Symbol" w:hAnsi="Symbol" w:hint="default"/>
      </w:rPr>
    </w:lvl>
    <w:lvl w:ilvl="4" w:tplc="5718BAC4">
      <w:start w:val="1"/>
      <w:numFmt w:val="bullet"/>
      <w:lvlText w:val="o"/>
      <w:lvlJc w:val="left"/>
      <w:pPr>
        <w:ind w:left="3600" w:hanging="360"/>
      </w:pPr>
      <w:rPr>
        <w:rFonts w:ascii="Courier New" w:hAnsi="Courier New" w:hint="default"/>
      </w:rPr>
    </w:lvl>
    <w:lvl w:ilvl="5" w:tplc="A15CD8EE">
      <w:start w:val="1"/>
      <w:numFmt w:val="bullet"/>
      <w:lvlText w:val=""/>
      <w:lvlJc w:val="left"/>
      <w:pPr>
        <w:ind w:left="4320" w:hanging="360"/>
      </w:pPr>
      <w:rPr>
        <w:rFonts w:ascii="Wingdings" w:hAnsi="Wingdings" w:hint="default"/>
      </w:rPr>
    </w:lvl>
    <w:lvl w:ilvl="6" w:tplc="E35AA02C">
      <w:start w:val="1"/>
      <w:numFmt w:val="bullet"/>
      <w:lvlText w:val=""/>
      <w:lvlJc w:val="left"/>
      <w:pPr>
        <w:ind w:left="5040" w:hanging="360"/>
      </w:pPr>
      <w:rPr>
        <w:rFonts w:ascii="Symbol" w:hAnsi="Symbol" w:hint="default"/>
      </w:rPr>
    </w:lvl>
    <w:lvl w:ilvl="7" w:tplc="32A083AC">
      <w:start w:val="1"/>
      <w:numFmt w:val="bullet"/>
      <w:lvlText w:val="o"/>
      <w:lvlJc w:val="left"/>
      <w:pPr>
        <w:ind w:left="5760" w:hanging="360"/>
      </w:pPr>
      <w:rPr>
        <w:rFonts w:ascii="Courier New" w:hAnsi="Courier New" w:hint="default"/>
      </w:rPr>
    </w:lvl>
    <w:lvl w:ilvl="8" w:tplc="CEECEFEA">
      <w:start w:val="1"/>
      <w:numFmt w:val="bullet"/>
      <w:lvlText w:val=""/>
      <w:lvlJc w:val="left"/>
      <w:pPr>
        <w:ind w:left="6480" w:hanging="360"/>
      </w:pPr>
      <w:rPr>
        <w:rFonts w:ascii="Wingdings" w:hAnsi="Wingdings" w:hint="default"/>
      </w:rPr>
    </w:lvl>
  </w:abstractNum>
  <w:abstractNum w:abstractNumId="13"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4487178">
    <w:abstractNumId w:val="12"/>
  </w:num>
  <w:num w:numId="2" w16cid:durableId="1444301782">
    <w:abstractNumId w:val="9"/>
  </w:num>
  <w:num w:numId="3" w16cid:durableId="2135826347">
    <w:abstractNumId w:val="7"/>
  </w:num>
  <w:num w:numId="4" w16cid:durableId="552692597">
    <w:abstractNumId w:val="6"/>
  </w:num>
  <w:num w:numId="5" w16cid:durableId="1752004683">
    <w:abstractNumId w:val="5"/>
  </w:num>
  <w:num w:numId="6" w16cid:durableId="1483963964">
    <w:abstractNumId w:val="4"/>
  </w:num>
  <w:num w:numId="7" w16cid:durableId="1300571846">
    <w:abstractNumId w:val="8"/>
  </w:num>
  <w:num w:numId="8" w16cid:durableId="1387071106">
    <w:abstractNumId w:val="3"/>
  </w:num>
  <w:num w:numId="9" w16cid:durableId="781656703">
    <w:abstractNumId w:val="2"/>
  </w:num>
  <w:num w:numId="10" w16cid:durableId="74284547">
    <w:abstractNumId w:val="1"/>
  </w:num>
  <w:num w:numId="11" w16cid:durableId="1702974788">
    <w:abstractNumId w:val="0"/>
  </w:num>
  <w:num w:numId="12" w16cid:durableId="1120031451">
    <w:abstractNumId w:val="13"/>
  </w:num>
  <w:num w:numId="13" w16cid:durableId="492070409">
    <w:abstractNumId w:val="16"/>
  </w:num>
  <w:num w:numId="14" w16cid:durableId="750199257">
    <w:abstractNumId w:val="14"/>
  </w:num>
  <w:num w:numId="15" w16cid:durableId="149175883">
    <w:abstractNumId w:val="10"/>
  </w:num>
  <w:num w:numId="16" w16cid:durableId="509294227">
    <w:abstractNumId w:val="15"/>
  </w:num>
  <w:num w:numId="17" w16cid:durableId="2050103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CBF"/>
    <w:rsid w:val="00015ECB"/>
    <w:rsid w:val="000271F1"/>
    <w:rsid w:val="0005380A"/>
    <w:rsid w:val="000539D9"/>
    <w:rsid w:val="00056228"/>
    <w:rsid w:val="000576B3"/>
    <w:rsid w:val="00061C87"/>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32700"/>
    <w:rsid w:val="00152960"/>
    <w:rsid w:val="00191C29"/>
    <w:rsid w:val="001949C2"/>
    <w:rsid w:val="001A66CB"/>
    <w:rsid w:val="001B29A1"/>
    <w:rsid w:val="001B391A"/>
    <w:rsid w:val="001E01AE"/>
    <w:rsid w:val="0020661E"/>
    <w:rsid w:val="00235864"/>
    <w:rsid w:val="0024471A"/>
    <w:rsid w:val="00247A02"/>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873DE"/>
    <w:rsid w:val="003B29F7"/>
    <w:rsid w:val="003B2C32"/>
    <w:rsid w:val="003D0D25"/>
    <w:rsid w:val="003E3FB4"/>
    <w:rsid w:val="003F60D1"/>
    <w:rsid w:val="00400B42"/>
    <w:rsid w:val="00404564"/>
    <w:rsid w:val="0040487C"/>
    <w:rsid w:val="004172CB"/>
    <w:rsid w:val="0043582B"/>
    <w:rsid w:val="00453EB3"/>
    <w:rsid w:val="00483270"/>
    <w:rsid w:val="00492847"/>
    <w:rsid w:val="004E148E"/>
    <w:rsid w:val="004E2D81"/>
    <w:rsid w:val="004E6DBA"/>
    <w:rsid w:val="005055EC"/>
    <w:rsid w:val="005165A4"/>
    <w:rsid w:val="0052016E"/>
    <w:rsid w:val="005246DC"/>
    <w:rsid w:val="00551CAC"/>
    <w:rsid w:val="0058057E"/>
    <w:rsid w:val="005833A5"/>
    <w:rsid w:val="00584918"/>
    <w:rsid w:val="00590432"/>
    <w:rsid w:val="00592066"/>
    <w:rsid w:val="00595A8A"/>
    <w:rsid w:val="005E62B4"/>
    <w:rsid w:val="005E76A9"/>
    <w:rsid w:val="00600101"/>
    <w:rsid w:val="00625F99"/>
    <w:rsid w:val="00647198"/>
    <w:rsid w:val="00663F1B"/>
    <w:rsid w:val="00670EBD"/>
    <w:rsid w:val="00693B5F"/>
    <w:rsid w:val="006A01C4"/>
    <w:rsid w:val="006B407A"/>
    <w:rsid w:val="006F6DB4"/>
    <w:rsid w:val="006F71F8"/>
    <w:rsid w:val="007216E3"/>
    <w:rsid w:val="00723D5B"/>
    <w:rsid w:val="0073724D"/>
    <w:rsid w:val="0074052B"/>
    <w:rsid w:val="007550DD"/>
    <w:rsid w:val="00773305"/>
    <w:rsid w:val="007857CC"/>
    <w:rsid w:val="007C2D86"/>
    <w:rsid w:val="007C2EAD"/>
    <w:rsid w:val="007C2F06"/>
    <w:rsid w:val="007C71EF"/>
    <w:rsid w:val="00830F91"/>
    <w:rsid w:val="00836A79"/>
    <w:rsid w:val="00842EB0"/>
    <w:rsid w:val="00850D8F"/>
    <w:rsid w:val="00883864"/>
    <w:rsid w:val="00896A0A"/>
    <w:rsid w:val="008D7F02"/>
    <w:rsid w:val="008E072B"/>
    <w:rsid w:val="008E2DAA"/>
    <w:rsid w:val="008F0BEC"/>
    <w:rsid w:val="0091768B"/>
    <w:rsid w:val="00924529"/>
    <w:rsid w:val="00931A22"/>
    <w:rsid w:val="009435B1"/>
    <w:rsid w:val="00967A00"/>
    <w:rsid w:val="00967BED"/>
    <w:rsid w:val="00967CEB"/>
    <w:rsid w:val="00976B97"/>
    <w:rsid w:val="00983841"/>
    <w:rsid w:val="009963AB"/>
    <w:rsid w:val="009C1151"/>
    <w:rsid w:val="009C31ED"/>
    <w:rsid w:val="009D305A"/>
    <w:rsid w:val="009D75D4"/>
    <w:rsid w:val="009E0640"/>
    <w:rsid w:val="009F0A4C"/>
    <w:rsid w:val="00A0398A"/>
    <w:rsid w:val="00A21457"/>
    <w:rsid w:val="00A306E3"/>
    <w:rsid w:val="00A46C5E"/>
    <w:rsid w:val="00A57586"/>
    <w:rsid w:val="00AA6902"/>
    <w:rsid w:val="00AB6855"/>
    <w:rsid w:val="00AD3D46"/>
    <w:rsid w:val="00AE43D0"/>
    <w:rsid w:val="00AE77FE"/>
    <w:rsid w:val="00B034FF"/>
    <w:rsid w:val="00B137A5"/>
    <w:rsid w:val="00B31188"/>
    <w:rsid w:val="00B34BF5"/>
    <w:rsid w:val="00B628F5"/>
    <w:rsid w:val="00B6294C"/>
    <w:rsid w:val="00B66294"/>
    <w:rsid w:val="00B676F5"/>
    <w:rsid w:val="00B933F6"/>
    <w:rsid w:val="00BB18DA"/>
    <w:rsid w:val="00BB3462"/>
    <w:rsid w:val="00BC36FB"/>
    <w:rsid w:val="00BD1080"/>
    <w:rsid w:val="00BD5800"/>
    <w:rsid w:val="00BD6A05"/>
    <w:rsid w:val="00BF5A89"/>
    <w:rsid w:val="00C169DA"/>
    <w:rsid w:val="00C25096"/>
    <w:rsid w:val="00C96F52"/>
    <w:rsid w:val="00CA36DC"/>
    <w:rsid w:val="00D07440"/>
    <w:rsid w:val="00D20437"/>
    <w:rsid w:val="00D41C83"/>
    <w:rsid w:val="00D6226A"/>
    <w:rsid w:val="00D752DE"/>
    <w:rsid w:val="00DB4FF8"/>
    <w:rsid w:val="00DD17A6"/>
    <w:rsid w:val="00DF70E9"/>
    <w:rsid w:val="00E2116F"/>
    <w:rsid w:val="00E242F3"/>
    <w:rsid w:val="00E64D31"/>
    <w:rsid w:val="00E82D48"/>
    <w:rsid w:val="00E955A0"/>
    <w:rsid w:val="00EB64BA"/>
    <w:rsid w:val="00ED0EDB"/>
    <w:rsid w:val="00ED3888"/>
    <w:rsid w:val="00F22067"/>
    <w:rsid w:val="00F2432C"/>
    <w:rsid w:val="00F278F9"/>
    <w:rsid w:val="00F42E69"/>
    <w:rsid w:val="00F478D0"/>
    <w:rsid w:val="00F80210"/>
    <w:rsid w:val="00FB50EC"/>
    <w:rsid w:val="00FC5E0F"/>
    <w:rsid w:val="00FE59FE"/>
    <w:rsid w:val="0B599278"/>
    <w:rsid w:val="2BA44D06"/>
    <w:rsid w:val="3EF5CDF4"/>
    <w:rsid w:val="479B847E"/>
    <w:rsid w:val="5C2A998E"/>
    <w:rsid w:val="6408F78E"/>
    <w:rsid w:val="755B4E2D"/>
    <w:rsid w:val="7F05B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2"/>
      </w:numPr>
      <w:tabs>
        <w:tab w:val="left" w:pos="567"/>
      </w:tabs>
      <w:ind w:left="568" w:hanging="284"/>
    </w:pPr>
  </w:style>
  <w:style w:type="paragraph" w:customStyle="1" w:styleId="Bullets2">
    <w:name w:val="Bullets 2"/>
    <w:basedOn w:val="Bullets1"/>
    <w:rsid w:val="00F80210"/>
    <w:pPr>
      <w:numPr>
        <w:numId w:val="13"/>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4"/>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5"/>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49"/>
    <w:semiHidden/>
    <w:locked/>
    <w:rsid w:val="00584918"/>
    <w:rPr>
      <w:sz w:val="20"/>
      <w:szCs w:val="20"/>
    </w:rPr>
  </w:style>
  <w:style w:type="character" w:customStyle="1" w:styleId="FootnoteTextChar">
    <w:name w:val="Footnote Text Char"/>
    <w:basedOn w:val="DefaultParagraphFont"/>
    <w:link w:val="FootnoteText"/>
    <w:uiPriority w:val="49"/>
    <w:semiHidden/>
    <w:rsid w:val="00584918"/>
  </w:style>
  <w:style w:type="character" w:styleId="FootnoteReference">
    <w:name w:val="footnote reference"/>
    <w:basedOn w:val="DefaultParagraphFont"/>
    <w:uiPriority w:val="49"/>
    <w:semiHidden/>
    <w:locked/>
    <w:rsid w:val="00584918"/>
    <w:rPr>
      <w:vertAlign w:val="superscript"/>
    </w:rPr>
  </w:style>
  <w:style w:type="character" w:styleId="CommentReference">
    <w:name w:val="annotation reference"/>
    <w:basedOn w:val="DefaultParagraphFont"/>
    <w:uiPriority w:val="49"/>
    <w:semiHidden/>
    <w:locked/>
    <w:rsid w:val="0074052B"/>
    <w:rPr>
      <w:sz w:val="16"/>
      <w:szCs w:val="16"/>
    </w:rPr>
  </w:style>
  <w:style w:type="paragraph" w:styleId="CommentText">
    <w:name w:val="annotation text"/>
    <w:basedOn w:val="Normal"/>
    <w:link w:val="CommentTextChar"/>
    <w:uiPriority w:val="49"/>
    <w:semiHidden/>
    <w:locked/>
    <w:rsid w:val="0074052B"/>
    <w:rPr>
      <w:sz w:val="20"/>
      <w:szCs w:val="20"/>
    </w:rPr>
  </w:style>
  <w:style w:type="character" w:customStyle="1" w:styleId="CommentTextChar">
    <w:name w:val="Comment Text Char"/>
    <w:basedOn w:val="DefaultParagraphFont"/>
    <w:link w:val="CommentText"/>
    <w:uiPriority w:val="49"/>
    <w:semiHidden/>
    <w:rsid w:val="0074052B"/>
  </w:style>
  <w:style w:type="paragraph" w:styleId="CommentSubject">
    <w:name w:val="annotation subject"/>
    <w:basedOn w:val="CommentText"/>
    <w:next w:val="CommentText"/>
    <w:link w:val="CommentSubjectChar"/>
    <w:uiPriority w:val="49"/>
    <w:semiHidden/>
    <w:locked/>
    <w:rsid w:val="0074052B"/>
    <w:rPr>
      <w:b/>
      <w:bCs/>
    </w:rPr>
  </w:style>
  <w:style w:type="character" w:customStyle="1" w:styleId="CommentSubjectChar">
    <w:name w:val="Comment Subject Char"/>
    <w:basedOn w:val="CommentTextChar"/>
    <w:link w:val="CommentSubject"/>
    <w:uiPriority w:val="49"/>
    <w:semiHidden/>
    <w:rsid w:val="00740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07DA9F0F60F4B95EDEAC0CAF5CDB5" ma:contentTypeVersion="9" ma:contentTypeDescription="Create a new document." ma:contentTypeScope="" ma:versionID="20c552a93e7c23b52f7afa327c36ec87">
  <xsd:schema xmlns:xsd="http://www.w3.org/2001/XMLSchema" xmlns:xs="http://www.w3.org/2001/XMLSchema" xmlns:p="http://schemas.microsoft.com/office/2006/metadata/properties" xmlns:ns2="432028a8-752b-44a2-8a9a-5f7079c3d0ae" xmlns:ns3="0eac43e0-7fd2-4b22-8a05-31e1128dd07a" targetNamespace="http://schemas.microsoft.com/office/2006/metadata/properties" ma:root="true" ma:fieldsID="c5dd8a7842b8e82b55957c7886ee505d" ns2:_="" ns3:_="">
    <xsd:import namespace="432028a8-752b-44a2-8a9a-5f7079c3d0ae"/>
    <xsd:import namespace="0eac43e0-7fd2-4b22-8a05-31e1128dd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028a8-752b-44a2-8a9a-5f7079c3d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c43e0-7fd2-4b22-8a05-31e1128dd0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439E-8AE1-43AB-B792-B6AC67C4F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028a8-752b-44a2-8a9a-5f7079c3d0ae"/>
    <ds:schemaRef ds:uri="0eac43e0-7fd2-4b22-8a05-31e1128dd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6DBED-109F-4034-BE0F-EB63A3B74D83}">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0eac43e0-7fd2-4b22-8a05-31e1128dd07a"/>
    <ds:schemaRef ds:uri="432028a8-752b-44a2-8a9a-5f7079c3d0ae"/>
  </ds:schemaRefs>
</ds:datastoreItem>
</file>

<file path=customXml/itemProps3.xml><?xml version="1.0" encoding="utf-8"?>
<ds:datastoreItem xmlns:ds="http://schemas.openxmlformats.org/officeDocument/2006/customXml" ds:itemID="{1430DCA8-713B-439E-B892-8640A79F0A1A}">
  <ds:schemaRefs>
    <ds:schemaRef ds:uri="http://schemas.microsoft.com/sharepoint/v3/contenttype/forms"/>
  </ds:schemaRefs>
</ds:datastoreItem>
</file>

<file path=customXml/itemProps4.xml><?xml version="1.0" encoding="utf-8"?>
<ds:datastoreItem xmlns:ds="http://schemas.openxmlformats.org/officeDocument/2006/customXml" ds:itemID="{FB89E790-EE2D-466C-9648-4582340D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2583</Characters>
  <Application>Microsoft Office Word</Application>
  <DocSecurity>0</DocSecurity>
  <Lines>21</Lines>
  <Paragraphs>6</Paragraphs>
  <ScaleCrop>false</ScaleCrop>
  <Company>AIMM</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Delaval, Beni (Science Connect, Clayton)</cp:lastModifiedBy>
  <cp:revision>2</cp:revision>
  <dcterms:created xsi:type="dcterms:W3CDTF">2024-03-21T23:44:00Z</dcterms:created>
  <dcterms:modified xsi:type="dcterms:W3CDTF">2024-03-21T23:44:00Z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0x01010088007DA9F0F60F4B95EDEAC0CAF5CDB5</vt:lpwstr>
  </property>
</Properties>
</file>