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6C11EACD" w:rsidR="00255DA9" w:rsidRPr="00261226" w:rsidRDefault="00B71694" w:rsidP="00255DA9">
      <w:pPr>
        <w:pStyle w:val="Title"/>
      </w:pPr>
      <w:r w:rsidRPr="00B71694">
        <w:t>Breaking barriers to enabling post closure transitions: 6 key challenges and strategies</w:t>
      </w:r>
      <w:r>
        <w:t>.</w:t>
      </w:r>
    </w:p>
    <w:p w14:paraId="495EDF19" w14:textId="33AF000F" w:rsidR="00255DA9" w:rsidRDefault="00B71694" w:rsidP="00255DA9">
      <w:pPr>
        <w:pStyle w:val="Authors"/>
      </w:pPr>
      <w:r w:rsidRPr="00B71694">
        <w:t>G Boggs</w:t>
      </w:r>
      <w:r w:rsidRPr="00B71694">
        <w:rPr>
          <w:vertAlign w:val="superscript"/>
        </w:rPr>
        <w:t>1</w:t>
      </w:r>
      <w:r w:rsidRPr="00B71694">
        <w:t>, J D’Urso</w:t>
      </w:r>
      <w:r>
        <w:rPr>
          <w:vertAlign w:val="superscript"/>
        </w:rPr>
        <w:t>2</w:t>
      </w:r>
      <w:r w:rsidRPr="00B71694">
        <w:rPr>
          <w:u w:val="single"/>
        </w:rPr>
        <w:t>, T</w:t>
      </w:r>
      <w:r>
        <w:rPr>
          <w:u w:val="single"/>
        </w:rPr>
        <w:t xml:space="preserve"> </w:t>
      </w:r>
      <w:r w:rsidRPr="00B71694">
        <w:rPr>
          <w:u w:val="single"/>
        </w:rPr>
        <w:t>Measha</w:t>
      </w:r>
      <w:r>
        <w:rPr>
          <w:u w:val="single"/>
        </w:rPr>
        <w:t>m</w:t>
      </w:r>
      <w:r>
        <w:rPr>
          <w:vertAlign w:val="superscript"/>
        </w:rPr>
        <w:t>3</w:t>
      </w:r>
      <w:r w:rsidRPr="00B71694">
        <w:rPr>
          <w:u w:val="single"/>
        </w:rPr>
        <w:t xml:space="preserve"> </w:t>
      </w:r>
      <w:r w:rsidRPr="00B71694">
        <w:t>and B Kelly</w:t>
      </w:r>
      <w:r>
        <w:rPr>
          <w:vertAlign w:val="superscript"/>
        </w:rPr>
        <w:t>4</w:t>
      </w:r>
      <w:r w:rsidRPr="00B71694">
        <w:t xml:space="preserve"> </w:t>
      </w:r>
      <w:r w:rsidR="00255DA9" w:rsidRPr="00B71694">
        <w:t>Author One</w:t>
      </w:r>
      <w:r w:rsidR="00255DA9" w:rsidRPr="00B71694">
        <w:rPr>
          <w:vertAlign w:val="superscript"/>
        </w:rPr>
        <w:t>1</w:t>
      </w:r>
      <w:r w:rsidR="00255DA9" w:rsidRPr="00B71694">
        <w:t xml:space="preserve">, </w:t>
      </w:r>
      <w:r w:rsidR="00255DA9" w:rsidRPr="001A66CB">
        <w:t>Author Two</w:t>
      </w:r>
      <w:r w:rsidR="00255DA9" w:rsidRPr="00745768">
        <w:rPr>
          <w:vertAlign w:val="superscript"/>
        </w:rPr>
        <w:t>2</w:t>
      </w:r>
      <w:r w:rsidR="00255DA9" w:rsidRPr="001A66CB">
        <w:t xml:space="preserve"> and Author Three</w:t>
      </w:r>
      <w:r w:rsidR="00255DA9" w:rsidRPr="0045165B">
        <w:rPr>
          <w:vertAlign w:val="superscript"/>
        </w:rPr>
        <w:t>3</w:t>
      </w:r>
      <w:r w:rsidR="00255DA9" w:rsidRPr="005E76A9">
        <w:t xml:space="preserve"> </w:t>
      </w:r>
      <w:r w:rsidR="00255DA9" w:rsidRPr="00A57586">
        <w:t>(initials and surnames only)</w:t>
      </w:r>
    </w:p>
    <w:p w14:paraId="57A1933A" w14:textId="3E0441F3" w:rsidR="007550DD" w:rsidRPr="001A66CB" w:rsidRDefault="007550DD" w:rsidP="007550DD">
      <w:pPr>
        <w:pStyle w:val="Instructionsandnotesdeleteme"/>
      </w:pPr>
    </w:p>
    <w:p w14:paraId="6C9A0D68" w14:textId="2DB575BB" w:rsidR="00255DA9" w:rsidRDefault="00255DA9" w:rsidP="00830F91">
      <w:pPr>
        <w:pStyle w:val="AuthorsDetails"/>
      </w:pPr>
      <w:r>
        <w:t>1.</w:t>
      </w:r>
      <w:r w:rsidR="00B71694">
        <w:t>Cooperative Research Centre for Transformations in Mining Economies, Perth, WA, 6000</w:t>
      </w:r>
      <w:r>
        <w:t xml:space="preserve"> </w:t>
      </w:r>
      <w:proofErr w:type="spellStart"/>
      <w:proofErr w:type="gramStart"/>
      <w:r w:rsidRPr="00BD1080">
        <w:t>Email</w:t>
      </w:r>
      <w:r>
        <w:t>:</w:t>
      </w:r>
      <w:r w:rsidR="00B71694">
        <w:t>guy.boggs@crctime.com.au</w:t>
      </w:r>
      <w:proofErr w:type="spellEnd"/>
      <w:proofErr w:type="gramEnd"/>
    </w:p>
    <w:p w14:paraId="6D0139DA" w14:textId="182A0D19" w:rsidR="00255DA9" w:rsidRDefault="00255DA9" w:rsidP="00255DA9">
      <w:pPr>
        <w:pStyle w:val="AuthorsDetails"/>
      </w:pPr>
      <w:r w:rsidRPr="00BD1080">
        <w:t>2.</w:t>
      </w:r>
      <w:r w:rsidR="00B71694" w:rsidRPr="00B71694">
        <w:t xml:space="preserve"> </w:t>
      </w:r>
      <w:r w:rsidR="00B71694">
        <w:t xml:space="preserve">External Relations and Impact Director, </w:t>
      </w:r>
      <w:r w:rsidR="00B71694">
        <w:t>Cooperative Research Centre for Transformations in Mining Economies, Perth, WA, 600</w:t>
      </w:r>
      <w:r w:rsidR="00B71694">
        <w:t>0</w:t>
      </w:r>
      <w:r>
        <w:t xml:space="preserve">. </w:t>
      </w:r>
      <w:r w:rsidRPr="00BD1080">
        <w:t>Email</w:t>
      </w:r>
      <w:r>
        <w:t>:</w:t>
      </w:r>
    </w:p>
    <w:p w14:paraId="3444580C" w14:textId="17C5F4D2" w:rsidR="00B71694" w:rsidRDefault="00255DA9" w:rsidP="00255DA9">
      <w:pPr>
        <w:pStyle w:val="AuthorsDetails"/>
      </w:pPr>
      <w:r w:rsidRPr="00BD1080">
        <w:t>3.</w:t>
      </w:r>
      <w:r w:rsidR="00B71694">
        <w:t xml:space="preserve"> Research Director,</w:t>
      </w:r>
      <w:r w:rsidR="00B71694" w:rsidRPr="00B71694">
        <w:t xml:space="preserve"> </w:t>
      </w:r>
      <w:r w:rsidR="00B71694">
        <w:t>C</w:t>
      </w:r>
      <w:r w:rsidR="00B71694">
        <w:t>ooperative Research Centre for Transformations in Mining Economies</w:t>
      </w:r>
    </w:p>
    <w:p w14:paraId="47A59BD9" w14:textId="77777777" w:rsidR="00B71694" w:rsidRDefault="00B71694" w:rsidP="00B71694">
      <w:pPr>
        <w:pStyle w:val="AuthorsDetails"/>
      </w:pPr>
      <w:r>
        <w:t xml:space="preserve">4. Board Chair, </w:t>
      </w:r>
      <w:bookmarkStart w:id="0" w:name="_Hlk49264075"/>
      <w:proofErr w:type="spellStart"/>
      <w:r>
        <w:t>ooperative</w:t>
      </w:r>
      <w:proofErr w:type="spellEnd"/>
      <w:r>
        <w:t xml:space="preserve"> Research Centre for Transformations in Mining Economies</w:t>
      </w:r>
    </w:p>
    <w:p w14:paraId="5FFD1D44" w14:textId="77777777" w:rsidR="00B71694" w:rsidRDefault="00B71694" w:rsidP="00B71694">
      <w:pPr>
        <w:pStyle w:val="AuthorsDetails"/>
      </w:pPr>
    </w:p>
    <w:p w14:paraId="32D5971B" w14:textId="4B626891" w:rsidR="00F42E69" w:rsidRPr="00F42E69" w:rsidRDefault="00F42E69" w:rsidP="00B71694">
      <w:pPr>
        <w:pStyle w:val="AuthorsDetails"/>
        <w:rPr>
          <w:rStyle w:val="BodyTextChar"/>
        </w:rPr>
      </w:pPr>
      <w:r w:rsidRPr="00F42E69">
        <w:t>Keywords:</w:t>
      </w:r>
      <w:r>
        <w:t xml:space="preserve"> </w:t>
      </w:r>
      <w:r w:rsidR="009F026D">
        <w:t>CRC TiME, Mine Closure, Strategic Planning, Transition, Post Mine Legacy, Economic Transformation</w:t>
      </w:r>
    </w:p>
    <w:bookmarkEnd w:id="0"/>
    <w:p w14:paraId="4712AA78" w14:textId="03C8A9AB" w:rsidR="00255DA9" w:rsidRPr="00F80210" w:rsidRDefault="00255DA9" w:rsidP="00B034FF">
      <w:pPr>
        <w:pStyle w:val="Heading1"/>
      </w:pPr>
      <w:r w:rsidRPr="00F80210">
        <w:t>ABSTRACT</w:t>
      </w:r>
      <w:r w:rsidR="00FC5E0F">
        <w:t xml:space="preserve"> </w:t>
      </w:r>
    </w:p>
    <w:p w14:paraId="03AC3CDD" w14:textId="77777777" w:rsidR="00B71694" w:rsidRDefault="00B71694" w:rsidP="00B71694">
      <w:pPr>
        <w:pStyle w:val="BodyText"/>
      </w:pPr>
      <w:r>
        <w:t>We sit at a time when we have the potential to reimagine and transform post-</w:t>
      </w:r>
      <w:proofErr w:type="gramStart"/>
      <w:r>
        <w:t>mine</w:t>
      </w:r>
      <w:proofErr w:type="gramEnd"/>
      <w:r>
        <w:t xml:space="preserve"> transitions. Significant opportunities present with an estimated 240 mines expected to close across Australia by 2040, peaking around 2030.</w:t>
      </w:r>
    </w:p>
    <w:p w14:paraId="01A792D3" w14:textId="77777777" w:rsidR="00B71694" w:rsidRDefault="00B71694" w:rsidP="00B71694">
      <w:pPr>
        <w:pStyle w:val="BodyText"/>
      </w:pPr>
      <w:r>
        <w:t>In 2024, CRC TiME undertook a review of research completed to date. This included more than $30 million of collective investment across 46 projects, which were informed by more than 100 industry, government, regional, First Nations and research leaders throughout their delivery. To build on what we learnt and accommodate the fast-changing context, we sought to understand both what are the key constraints preventing transformative change and where we could contribute most value over the next five-year period.</w:t>
      </w:r>
    </w:p>
    <w:p w14:paraId="14B86665" w14:textId="77777777" w:rsidR="00B71694" w:rsidRDefault="00B71694" w:rsidP="00B71694">
      <w:pPr>
        <w:pStyle w:val="BodyText"/>
      </w:pPr>
      <w:r>
        <w:t>Six key areas emerged from this process:</w:t>
      </w:r>
    </w:p>
    <w:p w14:paraId="013CFDF3" w14:textId="534DA4B5" w:rsidR="00B71694" w:rsidRDefault="00B71694" w:rsidP="00B71694">
      <w:pPr>
        <w:pStyle w:val="BodyText"/>
        <w:numPr>
          <w:ilvl w:val="0"/>
          <w:numId w:val="17"/>
        </w:numPr>
      </w:pPr>
      <w:r>
        <w:t>Supporting Corporate leadership in valuing post-mine transitions</w:t>
      </w:r>
    </w:p>
    <w:p w14:paraId="1BE6F64F" w14:textId="2C27C180" w:rsidR="00B71694" w:rsidRDefault="00B71694" w:rsidP="00B71694">
      <w:pPr>
        <w:pStyle w:val="BodyText"/>
        <w:numPr>
          <w:ilvl w:val="0"/>
          <w:numId w:val="17"/>
        </w:numPr>
      </w:pPr>
      <w:r>
        <w:t xml:space="preserve">Operationalise mine closure transition opportunities within </w:t>
      </w:r>
      <w:proofErr w:type="gramStart"/>
      <w:r>
        <w:t>mine  planning</w:t>
      </w:r>
      <w:proofErr w:type="gramEnd"/>
      <w:r>
        <w:t xml:space="preserve"> processes</w:t>
      </w:r>
    </w:p>
    <w:p w14:paraId="0683F82D" w14:textId="0C370FEA" w:rsidR="00B71694" w:rsidRDefault="00B71694" w:rsidP="00B71694">
      <w:pPr>
        <w:pStyle w:val="BodyText"/>
        <w:numPr>
          <w:ilvl w:val="0"/>
          <w:numId w:val="17"/>
        </w:numPr>
      </w:pPr>
      <w:r>
        <w:t>Establish the business case for asset transfer</w:t>
      </w:r>
    </w:p>
    <w:p w14:paraId="0FD497EA" w14:textId="376A3144" w:rsidR="00B71694" w:rsidRDefault="00B71694" w:rsidP="00B71694">
      <w:pPr>
        <w:pStyle w:val="BodyText"/>
        <w:numPr>
          <w:ilvl w:val="0"/>
          <w:numId w:val="17"/>
        </w:numPr>
      </w:pPr>
      <w:r>
        <w:t>Contribute to policy and regulation that minimises negative impacts and maximises benefits</w:t>
      </w:r>
    </w:p>
    <w:p w14:paraId="69D49D02" w14:textId="7FF0CC73" w:rsidR="00B71694" w:rsidRDefault="00B71694" w:rsidP="00B71694">
      <w:pPr>
        <w:pStyle w:val="BodyText"/>
        <w:numPr>
          <w:ilvl w:val="0"/>
          <w:numId w:val="17"/>
        </w:numPr>
      </w:pPr>
      <w:r>
        <w:t>Enable regional scale outcomes</w:t>
      </w:r>
    </w:p>
    <w:p w14:paraId="1C984DFD" w14:textId="53E0544F" w:rsidR="00B71694" w:rsidRDefault="00B71694" w:rsidP="00B71694">
      <w:pPr>
        <w:pStyle w:val="BodyText"/>
        <w:numPr>
          <w:ilvl w:val="0"/>
          <w:numId w:val="17"/>
        </w:numPr>
      </w:pPr>
      <w:r>
        <w:t>Support supply chain, education, training and workforce development for closure and post-mine transitions</w:t>
      </w:r>
    </w:p>
    <w:p w14:paraId="32229842" w14:textId="530AFE61" w:rsidR="00255DA9" w:rsidRDefault="00B71694" w:rsidP="00B71694">
      <w:pPr>
        <w:pStyle w:val="BodyText"/>
      </w:pPr>
      <w:r>
        <w:t>This presentation will explore each of these six areas, identifying the priority research, First Nations and industry change enablers. The novel framework sets a clear agenda for change away from mine closure towards managing transitions throughout and beyond Life of Mine to deliver a positive legacy.</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4C7B" w14:textId="77777777" w:rsidR="00EA1B53" w:rsidRDefault="00EA1B53">
      <w:r>
        <w:separator/>
      </w:r>
    </w:p>
  </w:endnote>
  <w:endnote w:type="continuationSeparator" w:id="0">
    <w:p w14:paraId="3829DC70" w14:textId="77777777" w:rsidR="00EA1B53" w:rsidRDefault="00EA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DCB7" w14:textId="77777777" w:rsidR="00EA1B53" w:rsidRDefault="00EA1B53">
      <w:r>
        <w:separator/>
      </w:r>
    </w:p>
  </w:footnote>
  <w:footnote w:type="continuationSeparator" w:id="0">
    <w:p w14:paraId="162EBBD7" w14:textId="77777777" w:rsidR="00EA1B53" w:rsidRDefault="00EA1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2A6C85"/>
    <w:multiLevelType w:val="hybridMultilevel"/>
    <w:tmpl w:val="7E4A5E8A"/>
    <w:lvl w:ilvl="0" w:tplc="D236EE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7EB4046F"/>
    <w:multiLevelType w:val="hybridMultilevel"/>
    <w:tmpl w:val="98D01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8271673">
    <w:abstractNumId w:val="9"/>
  </w:num>
  <w:num w:numId="2" w16cid:durableId="1800537994">
    <w:abstractNumId w:val="7"/>
  </w:num>
  <w:num w:numId="3" w16cid:durableId="1875734075">
    <w:abstractNumId w:val="6"/>
  </w:num>
  <w:num w:numId="4" w16cid:durableId="1199202551">
    <w:abstractNumId w:val="5"/>
  </w:num>
  <w:num w:numId="5" w16cid:durableId="597567535">
    <w:abstractNumId w:val="4"/>
  </w:num>
  <w:num w:numId="6" w16cid:durableId="846291260">
    <w:abstractNumId w:val="8"/>
  </w:num>
  <w:num w:numId="7" w16cid:durableId="501315804">
    <w:abstractNumId w:val="3"/>
  </w:num>
  <w:num w:numId="8" w16cid:durableId="1585454138">
    <w:abstractNumId w:val="2"/>
  </w:num>
  <w:num w:numId="9" w16cid:durableId="1382942234">
    <w:abstractNumId w:val="1"/>
  </w:num>
  <w:num w:numId="10" w16cid:durableId="1975864360">
    <w:abstractNumId w:val="0"/>
  </w:num>
  <w:num w:numId="11" w16cid:durableId="86540106">
    <w:abstractNumId w:val="11"/>
  </w:num>
  <w:num w:numId="12" w16cid:durableId="1547986672">
    <w:abstractNumId w:val="15"/>
  </w:num>
  <w:num w:numId="13" w16cid:durableId="361323649">
    <w:abstractNumId w:val="12"/>
  </w:num>
  <w:num w:numId="14" w16cid:durableId="1243755654">
    <w:abstractNumId w:val="10"/>
  </w:num>
  <w:num w:numId="15" w16cid:durableId="1238899285">
    <w:abstractNumId w:val="14"/>
  </w:num>
  <w:num w:numId="16" w16cid:durableId="153689586">
    <w:abstractNumId w:val="16"/>
  </w:num>
  <w:num w:numId="17" w16cid:durableId="1651860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2F24"/>
    <w:rsid w:val="000B7911"/>
    <w:rsid w:val="000C0EB2"/>
    <w:rsid w:val="000E6647"/>
    <w:rsid w:val="000F4F51"/>
    <w:rsid w:val="000F7BEB"/>
    <w:rsid w:val="0012093E"/>
    <w:rsid w:val="00152960"/>
    <w:rsid w:val="00191C29"/>
    <w:rsid w:val="001949C2"/>
    <w:rsid w:val="00197221"/>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26D"/>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71694"/>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A1B53"/>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Guy Boggs</cp:lastModifiedBy>
  <cp:revision>2</cp:revision>
  <dcterms:created xsi:type="dcterms:W3CDTF">2025-02-03T08:59:00Z</dcterms:created>
  <dcterms:modified xsi:type="dcterms:W3CDTF">2025-02-03T08:59:00Z</dcterms:modified>
</cp:coreProperties>
</file>