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C26BC" w14:textId="47BE6A31" w:rsidR="00255DA9" w:rsidRPr="00261226" w:rsidRDefault="00DD775E" w:rsidP="00255DA9">
      <w:pPr>
        <w:pStyle w:val="Title"/>
      </w:pPr>
      <w:r w:rsidRPr="00DD775E">
        <w:t>PhotonAssay – Efficient &amp; Bulk Gold Analysis in the Modern World</w:t>
      </w:r>
    </w:p>
    <w:p w14:paraId="6AC6E657" w14:textId="4734CA0C" w:rsidR="00255DA9" w:rsidRDefault="00DD775E" w:rsidP="00255DA9">
      <w:pPr>
        <w:pStyle w:val="Authors"/>
      </w:pPr>
      <w:r>
        <w:rPr>
          <w:u w:val="single"/>
        </w:rPr>
        <w:t>C. D. Tremblay</w:t>
      </w:r>
      <w:r w:rsidR="00255DA9" w:rsidRPr="00745768">
        <w:rPr>
          <w:vertAlign w:val="superscript"/>
        </w:rPr>
        <w:t>1</w:t>
      </w:r>
      <w:r w:rsidR="00255DA9" w:rsidRPr="001A66CB">
        <w:t xml:space="preserve">, </w:t>
      </w:r>
      <w:r w:rsidRPr="00DD775E">
        <w:rPr>
          <w:u w:val="single"/>
        </w:rPr>
        <w:t>J</w:t>
      </w:r>
      <w:r>
        <w:rPr>
          <w:u w:val="single"/>
        </w:rPr>
        <w:t>.</w:t>
      </w:r>
      <w:r w:rsidRPr="00DD775E">
        <w:rPr>
          <w:u w:val="single"/>
        </w:rPr>
        <w:t xml:space="preserve"> Tickner</w:t>
      </w:r>
      <w:r>
        <w:rPr>
          <w:u w:val="single"/>
          <w:vertAlign w:val="superscript"/>
        </w:rPr>
        <w:t>2</w:t>
      </w:r>
      <w:r w:rsidR="00E11A97">
        <w:t xml:space="preserve">, </w:t>
      </w:r>
      <w:r>
        <w:t>D. Treasure</w:t>
      </w:r>
      <w:r>
        <w:rPr>
          <w:vertAlign w:val="superscript"/>
        </w:rPr>
        <w:t>3</w:t>
      </w:r>
      <w:r>
        <w:t>, A. Oteri</w:t>
      </w:r>
      <w:r>
        <w:rPr>
          <w:vertAlign w:val="superscript"/>
        </w:rPr>
        <w:t>4</w:t>
      </w:r>
      <w:r>
        <w:t xml:space="preserve"> </w:t>
      </w:r>
      <w:r w:rsidR="00255DA9" w:rsidRPr="001A66CB">
        <w:t xml:space="preserve">and </w:t>
      </w:r>
      <w:r>
        <w:t>G. Wheeler</w:t>
      </w:r>
      <w:r>
        <w:rPr>
          <w:vertAlign w:val="superscript"/>
        </w:rPr>
        <w:t>5</w:t>
      </w:r>
      <w:r w:rsidR="00255DA9" w:rsidRPr="005E76A9">
        <w:t xml:space="preserve"> </w:t>
      </w:r>
    </w:p>
    <w:p w14:paraId="6B7F951C" w14:textId="77777777" w:rsidR="00255DA9" w:rsidRDefault="00255DA9" w:rsidP="00255DA9">
      <w:pPr>
        <w:pStyle w:val="AuthorsDetails"/>
      </w:pPr>
      <w:r>
        <w:t>1.</w:t>
      </w:r>
    </w:p>
    <w:p w14:paraId="1888369B" w14:textId="40D51D87" w:rsidR="00255DA9" w:rsidRDefault="00DD775E" w:rsidP="00255DA9">
      <w:pPr>
        <w:pStyle w:val="AuthorsDetails"/>
      </w:pPr>
      <w:r>
        <w:t>Post</w:t>
      </w:r>
      <w:r w:rsidR="00AA194E">
        <w:t>d</w:t>
      </w:r>
      <w:r>
        <w:t>octoral Fellow</w:t>
      </w:r>
      <w:r w:rsidR="00255DA9">
        <w:t xml:space="preserve">, </w:t>
      </w:r>
      <w:r>
        <w:t>CSIRO</w:t>
      </w:r>
      <w:r w:rsidR="00255DA9">
        <w:t xml:space="preserve">, </w:t>
      </w:r>
      <w:r>
        <w:t>Kensington, WA 6151</w:t>
      </w:r>
      <w:r w:rsidR="00255DA9">
        <w:t xml:space="preserve">. </w:t>
      </w:r>
      <w:proofErr w:type="spellStart"/>
      <w:r w:rsidR="00255DA9" w:rsidRPr="00BD1080">
        <w:t>Email</w:t>
      </w:r>
      <w:r w:rsidR="00255DA9">
        <w:t>:</w:t>
      </w:r>
      <w:r>
        <w:t>Chenoa.tremblay@csiro.au</w:t>
      </w:r>
      <w:proofErr w:type="spellEnd"/>
    </w:p>
    <w:p w14:paraId="3CA38D49" w14:textId="77777777" w:rsidR="00255DA9" w:rsidRDefault="00255DA9" w:rsidP="00255DA9">
      <w:pPr>
        <w:pStyle w:val="AuthorsDetails"/>
      </w:pPr>
    </w:p>
    <w:p w14:paraId="696FED1A" w14:textId="77777777" w:rsidR="00255DA9" w:rsidRDefault="00255DA9" w:rsidP="00255DA9">
      <w:pPr>
        <w:pStyle w:val="AuthorsDetails"/>
      </w:pPr>
      <w:r w:rsidRPr="00BD1080">
        <w:t>2.</w:t>
      </w:r>
    </w:p>
    <w:p w14:paraId="05E7F882" w14:textId="3A575CB0" w:rsidR="00255DA9" w:rsidRDefault="00AA194E" w:rsidP="00255DA9">
      <w:pPr>
        <w:pStyle w:val="AuthorsDetails"/>
      </w:pPr>
      <w:r>
        <w:t>Chief Technology Officer</w:t>
      </w:r>
      <w:r w:rsidR="00255DA9">
        <w:t xml:space="preserve">, </w:t>
      </w:r>
      <w:r w:rsidR="00DD775E">
        <w:t>Chrysos Corporation</w:t>
      </w:r>
      <w:r w:rsidR="00255DA9">
        <w:t xml:space="preserve">, </w:t>
      </w:r>
      <w:r w:rsidR="00DD775E">
        <w:t>Adelaide</w:t>
      </w:r>
      <w:r w:rsidR="00255DA9">
        <w:t xml:space="preserve"> </w:t>
      </w:r>
      <w:r w:rsidR="00DD775E">
        <w:t>SA</w:t>
      </w:r>
      <w:r w:rsidR="00255DA9">
        <w:t xml:space="preserve"> </w:t>
      </w:r>
      <w:r>
        <w:t>5064</w:t>
      </w:r>
      <w:r w:rsidR="00255DA9">
        <w:t xml:space="preserve"> </w:t>
      </w:r>
      <w:proofErr w:type="spellStart"/>
      <w:r w:rsidR="00255DA9" w:rsidRPr="00BD1080">
        <w:t>Email</w:t>
      </w:r>
      <w:r w:rsidR="00255DA9">
        <w:t>:</w:t>
      </w:r>
      <w:r w:rsidR="00DD775E">
        <w:t>james.tickner@chrysos.com.au</w:t>
      </w:r>
      <w:proofErr w:type="spellEnd"/>
    </w:p>
    <w:p w14:paraId="2F354295" w14:textId="77777777" w:rsidR="00255DA9" w:rsidRDefault="00255DA9" w:rsidP="00255DA9">
      <w:pPr>
        <w:pStyle w:val="AuthorsDetails"/>
      </w:pPr>
    </w:p>
    <w:p w14:paraId="2948202D" w14:textId="77777777" w:rsidR="00255DA9" w:rsidRDefault="00255DA9" w:rsidP="00255DA9">
      <w:pPr>
        <w:pStyle w:val="AuthorsDetails"/>
      </w:pPr>
      <w:r w:rsidRPr="00BD1080">
        <w:t>3.</w:t>
      </w:r>
    </w:p>
    <w:p w14:paraId="4F073437" w14:textId="7324CADC" w:rsidR="00255DA9" w:rsidRDefault="00AA194E" w:rsidP="00255DA9">
      <w:pPr>
        <w:pStyle w:val="AuthorsDetails"/>
      </w:pPr>
      <w:r>
        <w:t>Chief Executive Officer</w:t>
      </w:r>
      <w:r w:rsidR="00255DA9">
        <w:t xml:space="preserve">, </w:t>
      </w:r>
      <w:r w:rsidR="00DD775E">
        <w:t xml:space="preserve">Chrysos Corporation, Adelaide SA </w:t>
      </w:r>
      <w:r>
        <w:t>5064</w:t>
      </w:r>
      <w:r w:rsidR="00DD775E">
        <w:t xml:space="preserve"> </w:t>
      </w:r>
      <w:proofErr w:type="spellStart"/>
      <w:r w:rsidR="00DD775E" w:rsidRPr="00BD1080">
        <w:t>Email</w:t>
      </w:r>
      <w:r w:rsidR="00DD775E">
        <w:t>:dirk.treasure@chrysos.com.au</w:t>
      </w:r>
      <w:proofErr w:type="spellEnd"/>
    </w:p>
    <w:p w14:paraId="3AF42F88" w14:textId="44D0548A" w:rsidR="00DD775E" w:rsidRDefault="00DD775E" w:rsidP="00255DA9">
      <w:pPr>
        <w:pStyle w:val="AuthorsDetails"/>
      </w:pPr>
    </w:p>
    <w:p w14:paraId="72423E27" w14:textId="7B0A9D8B" w:rsidR="00DD775E" w:rsidRDefault="00DD775E" w:rsidP="00DD775E">
      <w:pPr>
        <w:pStyle w:val="AuthorsDetails"/>
      </w:pPr>
      <w:r>
        <w:t>4</w:t>
      </w:r>
      <w:r w:rsidRPr="00BD1080">
        <w:t>.</w:t>
      </w:r>
    </w:p>
    <w:p w14:paraId="72574BDC" w14:textId="575F60CB" w:rsidR="00DD775E" w:rsidRDefault="00DD775E" w:rsidP="00DD775E">
      <w:pPr>
        <w:pStyle w:val="AuthorsDetails"/>
      </w:pPr>
      <w:r>
        <w:t xml:space="preserve">Technical Manager, MinAnalytical Laboratory, Canning Vale, WA 6155. </w:t>
      </w:r>
      <w:proofErr w:type="spellStart"/>
      <w:r w:rsidRPr="00BD1080">
        <w:t>Email</w:t>
      </w:r>
      <w:r>
        <w:t>:Anthony.oteri@mlsa.com.au</w:t>
      </w:r>
      <w:proofErr w:type="spellEnd"/>
    </w:p>
    <w:p w14:paraId="57F3B665" w14:textId="130C0EA4" w:rsidR="00DD775E" w:rsidRDefault="00DD775E" w:rsidP="00DD775E">
      <w:pPr>
        <w:pStyle w:val="AuthorsDetails"/>
      </w:pPr>
      <w:r>
        <w:t>5</w:t>
      </w:r>
      <w:r w:rsidRPr="00BD1080">
        <w:t>.</w:t>
      </w:r>
    </w:p>
    <w:p w14:paraId="3BA922D0" w14:textId="2691D9C8" w:rsidR="00DD775E" w:rsidRDefault="00DD775E" w:rsidP="00DD775E">
      <w:pPr>
        <w:pStyle w:val="AuthorsDetails"/>
      </w:pPr>
      <w:r>
        <w:t xml:space="preserve">Director, MinAnalytical Laboratory, Canning Vale, WA 6155. </w:t>
      </w:r>
      <w:proofErr w:type="spellStart"/>
      <w:r w:rsidRPr="00BD1080">
        <w:t>Email</w:t>
      </w:r>
      <w:r>
        <w:t>:Gary.Wheeler@mlsa.com.au</w:t>
      </w:r>
      <w:proofErr w:type="spellEnd"/>
    </w:p>
    <w:p w14:paraId="07480DB3" w14:textId="77777777" w:rsidR="00DD775E" w:rsidRDefault="00DD775E" w:rsidP="00255DA9">
      <w:pPr>
        <w:pStyle w:val="AuthorsDetails"/>
      </w:pPr>
    </w:p>
    <w:p w14:paraId="29E2E7C0" w14:textId="3CAB4350" w:rsidR="00AD1E92" w:rsidRDefault="00255DA9" w:rsidP="00255DA9">
      <w:pPr>
        <w:pStyle w:val="Heading1"/>
      </w:pPr>
      <w:r w:rsidRPr="00F80210">
        <w:br w:type="page"/>
      </w:r>
      <w:r w:rsidRPr="00F80210">
        <w:lastRenderedPageBreak/>
        <w:t xml:space="preserve">ABSTRACT </w:t>
      </w:r>
    </w:p>
    <w:p w14:paraId="54ED2F9C" w14:textId="08EE3A33" w:rsidR="00CB4763" w:rsidRDefault="00AD1E92" w:rsidP="00AD1E92">
      <w:pPr>
        <w:pStyle w:val="BodyText"/>
        <w:jc w:val="both"/>
      </w:pPr>
      <w:r w:rsidRPr="00AD1E92">
        <w:t xml:space="preserve">The new </w:t>
      </w:r>
      <w:proofErr w:type="spellStart"/>
      <w:r w:rsidRPr="00AD1E92">
        <w:t>Chrysos</w:t>
      </w:r>
      <w:r w:rsidR="00CB4763">
        <w:rPr>
          <w:vertAlign w:val="superscript"/>
        </w:rPr>
        <w:t>TM</w:t>
      </w:r>
      <w:proofErr w:type="spellEnd"/>
      <w:r w:rsidRPr="00AD1E92">
        <w:t xml:space="preserve"> PhotonAssay Max </w:t>
      </w:r>
      <w:r w:rsidR="00CB4763">
        <w:t>technology</w:t>
      </w:r>
      <w:r w:rsidRPr="00AD1E92">
        <w:t xml:space="preserve"> </w:t>
      </w:r>
      <w:r w:rsidR="00CB4763">
        <w:t>uses</w:t>
      </w:r>
      <w:r w:rsidRPr="00AD1E92">
        <w:t xml:space="preserve"> high-energy </w:t>
      </w:r>
      <w:r w:rsidR="00760C03">
        <w:t>X</w:t>
      </w:r>
      <w:r w:rsidRPr="00AD1E92">
        <w:t xml:space="preserve">-rays </w:t>
      </w:r>
      <w:r w:rsidR="00CB4763">
        <w:t xml:space="preserve">to directly measure gold in bulk ore samples, combined </w:t>
      </w:r>
      <w:r w:rsidRPr="00AD1E92">
        <w:t>with full</w:t>
      </w:r>
      <w:r w:rsidR="00CB4763">
        <w:t>y</w:t>
      </w:r>
      <w:r w:rsidRPr="00AD1E92">
        <w:t xml:space="preserve"> robotic</w:t>
      </w:r>
      <w:r w:rsidR="00CB4763">
        <w:t xml:space="preserve"> sample handling</w:t>
      </w:r>
      <w:r w:rsidRPr="00AD1E92">
        <w:t xml:space="preserve"> to keep up with the high demands of </w:t>
      </w:r>
      <w:r w:rsidR="00CB4763">
        <w:t xml:space="preserve">the </w:t>
      </w:r>
      <w:r w:rsidRPr="00AD1E92">
        <w:t>mining</w:t>
      </w:r>
      <w:r w:rsidR="00CB4763">
        <w:t xml:space="preserve"> industry. Testing on a lar</w:t>
      </w:r>
      <w:r w:rsidR="00E11A97">
        <w:t>ge suite of</w:t>
      </w:r>
      <w:r w:rsidR="00CB4763">
        <w:t xml:space="preserve"> certified reference materials demonstrates that accurate gold values can be determined over a wide range of concentrations, with a detection limit down to 0.03 ppm. </w:t>
      </w:r>
    </w:p>
    <w:p w14:paraId="5E44930D" w14:textId="6B04FB46" w:rsidR="00AD1E92" w:rsidRPr="00AD1E92" w:rsidRDefault="00CB4763" w:rsidP="00AD1E92">
      <w:pPr>
        <w:pStyle w:val="BodyText"/>
        <w:jc w:val="both"/>
      </w:pPr>
      <w:r>
        <w:t>P</w:t>
      </w:r>
      <w:r w:rsidR="00AD1E92" w:rsidRPr="00AD1E92">
        <w:t xml:space="preserve">hotonAssay is a non-destructive technique </w:t>
      </w:r>
      <w:r>
        <w:t>that</w:t>
      </w:r>
      <w:r w:rsidR="00AD1E92" w:rsidRPr="00AD1E92">
        <w:t xml:space="preserve"> does not require gold to be liberated from gang</w:t>
      </w:r>
      <w:r>
        <w:t>u</w:t>
      </w:r>
      <w:r w:rsidR="00AD1E92" w:rsidRPr="00AD1E92">
        <w:t xml:space="preserve">e </w:t>
      </w:r>
      <w:r w:rsidR="00AD1E92">
        <w:t xml:space="preserve">material </w:t>
      </w:r>
      <w:r w:rsidR="00AD1E92" w:rsidRPr="00AD1E92">
        <w:t>before analysis</w:t>
      </w:r>
      <w:r>
        <w:t>, meaning that</w:t>
      </w:r>
      <w:r w:rsidR="00AD1E92" w:rsidRPr="00AD1E92">
        <w:t xml:space="preserve"> samples can be prepared </w:t>
      </w:r>
      <w:r>
        <w:t>with</w:t>
      </w:r>
      <w:r w:rsidR="00AD1E92" w:rsidRPr="00AD1E92">
        <w:t xml:space="preserve"> larger particle sizes</w:t>
      </w:r>
      <w:r>
        <w:t>, reducing</w:t>
      </w:r>
      <w:r w:rsidR="00AD1E92" w:rsidRPr="00AD1E92">
        <w:t xml:space="preserve"> loss</w:t>
      </w:r>
      <w:r>
        <w:t>es</w:t>
      </w:r>
      <w:r w:rsidR="00AD1E92" w:rsidRPr="00AD1E92">
        <w:t xml:space="preserve"> of gold </w:t>
      </w:r>
      <w:r>
        <w:t xml:space="preserve">that can occur through </w:t>
      </w:r>
      <w:r w:rsidR="00AD1E92" w:rsidRPr="00AD1E92">
        <w:t xml:space="preserve">smearing onto the surface of pulverising </w:t>
      </w:r>
      <w:r>
        <w:t>equipment</w:t>
      </w:r>
      <w:r w:rsidR="00AD1E92" w:rsidRPr="00AD1E92">
        <w:t xml:space="preserve">.  </w:t>
      </w:r>
    </w:p>
    <w:p w14:paraId="4A11A2EC" w14:textId="211B47B8" w:rsidR="00C46A6D" w:rsidRDefault="00AD1E92" w:rsidP="00AD1E92">
      <w:pPr>
        <w:pStyle w:val="BodyText"/>
        <w:jc w:val="both"/>
      </w:pPr>
      <w:r w:rsidRPr="00AD1E92">
        <w:t>Through analys</w:t>
      </w:r>
      <w:r w:rsidR="00CB4763">
        <w:t xml:space="preserve">is of </w:t>
      </w:r>
      <w:r w:rsidR="00C46A6D">
        <w:t>suites of material fr</w:t>
      </w:r>
      <w:r w:rsidRPr="00AD1E92">
        <w:t xml:space="preserve">om drill sites across Australia, we have found that </w:t>
      </w:r>
      <w:r w:rsidR="00CB4763">
        <w:t>results determined by</w:t>
      </w:r>
      <w:r w:rsidRPr="00AD1E92">
        <w:t xml:space="preserve"> PhotonAssay</w:t>
      </w:r>
      <w:r w:rsidR="00CB4763">
        <w:t xml:space="preserve"> </w:t>
      </w:r>
      <w:r w:rsidRPr="00AD1E92">
        <w:t xml:space="preserve">on drill core and reverse circulation drilling </w:t>
      </w:r>
      <w:r w:rsidR="00CB4763">
        <w:t xml:space="preserve">samples </w:t>
      </w:r>
      <w:r w:rsidR="00C46A6D">
        <w:t xml:space="preserve">crushed to a top-size of 2-3 mm </w:t>
      </w:r>
      <w:r w:rsidR="00CB4763">
        <w:t xml:space="preserve">generally correlate </w:t>
      </w:r>
      <w:r w:rsidR="00C46A6D">
        <w:t>at a level of</w:t>
      </w:r>
      <w:r w:rsidRPr="00AD1E92">
        <w:t xml:space="preserve"> 97</w:t>
      </w:r>
      <w:r w:rsidR="005C31DE">
        <w:t xml:space="preserve"> percent</w:t>
      </w:r>
      <w:r w:rsidRPr="00AD1E92">
        <w:t xml:space="preserve"> </w:t>
      </w:r>
      <w:r w:rsidR="00C46A6D">
        <w:t xml:space="preserve">or better </w:t>
      </w:r>
      <w:r w:rsidRPr="00AD1E92">
        <w:t>with traditional fire assay</w:t>
      </w:r>
      <w:r w:rsidR="00C46A6D">
        <w:t xml:space="preserve"> values</w:t>
      </w:r>
      <w:r w:rsidRPr="00AD1E92">
        <w:t xml:space="preserve">. </w:t>
      </w:r>
      <w:r w:rsidR="00C46A6D">
        <w:t>For sites with particularly coarse gold, it is advantageous to further reduce the particle size before sampling for assay, but the much larger PhotonAssay sample size (400-500 g approximately) significantly reduces sampling errors compared to traditional 25-50 g fire-assay. Statistical tests show that results from fire-assay and PhotonAssay can be used interchangeabl</w:t>
      </w:r>
      <w:r w:rsidR="00760C03">
        <w:t>y</w:t>
      </w:r>
      <w:r w:rsidR="00C46A6D">
        <w:t xml:space="preserve"> during a drilling program. We present detailed results from several case studies to illustrate these findings.</w:t>
      </w:r>
    </w:p>
    <w:p w14:paraId="33498FFB" w14:textId="132AD3DE" w:rsidR="00C46A6D" w:rsidRDefault="00C46A6D" w:rsidP="00AD1E92">
      <w:pPr>
        <w:pStyle w:val="BodyText"/>
        <w:jc w:val="both"/>
      </w:pPr>
      <w:r>
        <w:t>The combination of simplified sample preparation and reduced sampling errors are of immediate benefit to geologists responsible for resource definition and grade control analyses. Significantly reduced turn-around times, lowered staffing requirements and the removal of the use of toxic reagents</w:t>
      </w:r>
      <w:r w:rsidR="00B11B06">
        <w:t>,</w:t>
      </w:r>
      <w:r>
        <w:t xml:space="preserve"> such as lead</w:t>
      </w:r>
      <w:r w:rsidR="00B11B06">
        <w:t>,</w:t>
      </w:r>
      <w:r>
        <w:t xml:space="preserve"> are additional benefits offered by the new technology.</w:t>
      </w:r>
    </w:p>
    <w:p w14:paraId="4D9FCC6B" w14:textId="631687FF" w:rsidR="00255DA9" w:rsidRPr="00F80210" w:rsidRDefault="00AD1E92" w:rsidP="00255DA9">
      <w:pPr>
        <w:pStyle w:val="Heading1"/>
      </w:pPr>
      <w:r>
        <w:t>I</w:t>
      </w:r>
      <w:r w:rsidR="00255DA9" w:rsidRPr="00F80210">
        <w:t xml:space="preserve">ntroduction </w:t>
      </w:r>
    </w:p>
    <w:p w14:paraId="752B5525" w14:textId="130EE972" w:rsidR="001A1451" w:rsidRPr="00AD1E92" w:rsidRDefault="001A1451" w:rsidP="00AD1E92">
      <w:pPr>
        <w:pStyle w:val="BodyText"/>
        <w:jc w:val="both"/>
      </w:pPr>
      <w:r w:rsidRPr="00AD1E92">
        <w:t>The accurate measurement of gold in mineral ore samples is essential across the entire value chain, from exploration and resource definition through to grade control, blending, plant monitoring and final product evaluation. Traditionally, chemical methods such as fire-assay and cyanide or acid-leach have been used for routine measurement of gold. These require extensive sample preparation, skilled technicians, and use caustic or toxic reagents</w:t>
      </w:r>
      <w:r w:rsidR="009B416D" w:rsidRPr="00AD1E92">
        <w:t xml:space="preserve"> that can</w:t>
      </w:r>
      <w:r w:rsidRPr="00AD1E92">
        <w:t xml:space="preserve"> present health and environmental challenges.</w:t>
      </w:r>
    </w:p>
    <w:p w14:paraId="144221D2" w14:textId="3F89ADA0" w:rsidR="001A1451" w:rsidRPr="00AD1E92" w:rsidRDefault="001A1451" w:rsidP="00AD1E92">
      <w:pPr>
        <w:pStyle w:val="BodyText"/>
        <w:jc w:val="both"/>
      </w:pPr>
      <w:r w:rsidRPr="00AD1E92">
        <w:t xml:space="preserve">PhotonAssay is a novel X-ray based method that directly and non-destructively measures gold in large samples. In this paper, we </w:t>
      </w:r>
      <w:r w:rsidR="009B416D" w:rsidRPr="00AD1E92">
        <w:t>introduce</w:t>
      </w:r>
      <w:r w:rsidRPr="00AD1E92">
        <w:t xml:space="preserve"> the technology and present the results of extensive testing that we have performed to demonstrate its efficacy for mining applications. </w:t>
      </w:r>
    </w:p>
    <w:p w14:paraId="499BE5FB" w14:textId="1D3A182A" w:rsidR="001A1451" w:rsidRPr="00AD1E92" w:rsidRDefault="001A1451" w:rsidP="00AD1E92">
      <w:pPr>
        <w:pStyle w:val="BodyText"/>
        <w:jc w:val="both"/>
      </w:pPr>
      <w:r w:rsidRPr="00AD1E92">
        <w:t>The paper is structured as follows.</w:t>
      </w:r>
    </w:p>
    <w:p w14:paraId="58BDBB27" w14:textId="7597ED69" w:rsidR="001A1451" w:rsidRPr="00AD1E92" w:rsidRDefault="001A1451" w:rsidP="00AD1E92">
      <w:pPr>
        <w:pStyle w:val="BodyText"/>
        <w:jc w:val="both"/>
      </w:pPr>
      <w:r w:rsidRPr="00AD1E92">
        <w:t>First, we describe the technology and the physics principles by which it operates. We present test results obtained using certified reference materials that demonstrate the precision and accuracy of the instrument.</w:t>
      </w:r>
    </w:p>
    <w:p w14:paraId="607BD9D7" w14:textId="7A13CCC2" w:rsidR="001A1451" w:rsidRPr="00AD1E92" w:rsidRDefault="001A1451" w:rsidP="00AD1E92">
      <w:pPr>
        <w:pStyle w:val="BodyText"/>
        <w:jc w:val="both"/>
      </w:pPr>
      <w:r w:rsidRPr="00AD1E92">
        <w:t>Next, we discuss sample preparation and sampling errors, illustrated by comparing PhotonAssay and fire-assay measurements on sample suites from 10 drill sites</w:t>
      </w:r>
      <w:r w:rsidR="009B416D" w:rsidRPr="00AD1E92">
        <w:t xml:space="preserve"> prepared using different crushing and pulverising approaches.</w:t>
      </w:r>
    </w:p>
    <w:p w14:paraId="4EC0891E" w14:textId="13E3E2A3" w:rsidR="009B416D" w:rsidRPr="00AD1E92" w:rsidRDefault="009B416D" w:rsidP="00AD1E92">
      <w:pPr>
        <w:pStyle w:val="BodyText"/>
        <w:jc w:val="both"/>
      </w:pPr>
      <w:r w:rsidRPr="00AD1E92">
        <w:t>We then present two real-world case-studies that focus on materials from two mining operations, one with finely</w:t>
      </w:r>
      <w:r w:rsidR="00E11A97">
        <w:t xml:space="preserve"> </w:t>
      </w:r>
      <w:r w:rsidRPr="00AD1E92">
        <w:t xml:space="preserve">disseminated gold and one with extremely coarse, </w:t>
      </w:r>
      <w:r w:rsidR="00770400">
        <w:t>“</w:t>
      </w:r>
      <w:r w:rsidRPr="00AD1E92">
        <w:t>nuggety</w:t>
      </w:r>
      <w:r w:rsidR="00770400">
        <w:t>”</w:t>
      </w:r>
      <w:r w:rsidRPr="00AD1E92">
        <w:t xml:space="preserve"> material. We discuss how different sample preparation protocols can be used to successfully assay these material types.</w:t>
      </w:r>
    </w:p>
    <w:p w14:paraId="608275D4" w14:textId="25B5B192" w:rsidR="009B416D" w:rsidRPr="00AD1E92" w:rsidRDefault="009B416D" w:rsidP="00AD1E92">
      <w:pPr>
        <w:pStyle w:val="BodyText"/>
        <w:jc w:val="both"/>
      </w:pPr>
      <w:r w:rsidRPr="00AD1E92">
        <w:t>Last, we describe an unusual application that relies on the non-destructive nature of the PhotonAssay method, namely analysis of whole core pieces that are to be used for training an ore-sorting system.</w:t>
      </w:r>
    </w:p>
    <w:p w14:paraId="4930B0B5" w14:textId="1E5B4F56" w:rsidR="00255DA9" w:rsidRPr="00F80210" w:rsidRDefault="00DD775E" w:rsidP="00255DA9">
      <w:pPr>
        <w:pStyle w:val="Heading1"/>
      </w:pPr>
      <w:r>
        <w:t>PhotonASSAY TeChnology</w:t>
      </w:r>
    </w:p>
    <w:p w14:paraId="25E43CA4" w14:textId="5173FD9C" w:rsidR="008238DA" w:rsidRDefault="00BE78F9" w:rsidP="008D60B5">
      <w:pPr>
        <w:pStyle w:val="BodyText"/>
        <w:jc w:val="both"/>
      </w:pPr>
      <w:r>
        <w:t>Photo</w:t>
      </w:r>
      <w:r w:rsidR="001A1451">
        <w:t>n</w:t>
      </w:r>
      <w:r>
        <w:t>Assay uses the basic principle of gamma-activation analysis, also known as photon activation analysis, to measure the content of gold and other elements inside bulk mineral ore</w:t>
      </w:r>
      <w:r w:rsidR="00E11A97">
        <w:t xml:space="preserve"> (Tickner </w:t>
      </w:r>
      <w:r w:rsidR="00E11A97" w:rsidRPr="005C31DE">
        <w:rPr>
          <w:i/>
        </w:rPr>
        <w:t>et al</w:t>
      </w:r>
      <w:r w:rsidR="00E11A97">
        <w:t>, 2017).</w:t>
      </w:r>
    </w:p>
    <w:p w14:paraId="10490265" w14:textId="55CC29C7" w:rsidR="00DA7D33" w:rsidRDefault="00BE78F9" w:rsidP="008D60B5">
      <w:pPr>
        <w:pStyle w:val="BodyText"/>
        <w:jc w:val="both"/>
      </w:pPr>
      <w:r>
        <w:lastRenderedPageBreak/>
        <w:t xml:space="preserve">Samples, typically weighing about 0.5 kg, are packaged inside a </w:t>
      </w:r>
      <w:r w:rsidR="00770400">
        <w:t xml:space="preserve">350 mL </w:t>
      </w:r>
      <w:r>
        <w:t>sealed plastic jar in which they remain through</w:t>
      </w:r>
      <w:r w:rsidR="005C31DE">
        <w:t>o</w:t>
      </w:r>
      <w:r>
        <w:t>ut the measurement process</w:t>
      </w:r>
      <w:r w:rsidR="0041600C">
        <w:t xml:space="preserve"> (</w:t>
      </w:r>
      <w:r w:rsidR="0041600C">
        <w:fldChar w:fldCharType="begin"/>
      </w:r>
      <w:r w:rsidR="0041600C">
        <w:instrText xml:space="preserve"> REF _Ref10730297 \h </w:instrText>
      </w:r>
      <w:r w:rsidR="008D60B5">
        <w:instrText xml:space="preserve"> \* MERGEFORMAT </w:instrText>
      </w:r>
      <w:r w:rsidR="0041600C">
        <w:fldChar w:fldCharType="separate"/>
      </w:r>
      <w:r w:rsidR="0041600C">
        <w:t xml:space="preserve">Figure </w:t>
      </w:r>
      <w:r w:rsidR="0041600C">
        <w:rPr>
          <w:noProof/>
        </w:rPr>
        <w:t>1</w:t>
      </w:r>
      <w:r w:rsidR="0041600C">
        <w:fldChar w:fldCharType="end"/>
      </w:r>
      <w:r w:rsidR="0041600C">
        <w:t>)</w:t>
      </w:r>
      <w:r>
        <w:t xml:space="preserve">. </w:t>
      </w:r>
    </w:p>
    <w:p w14:paraId="43369980" w14:textId="56ED6189" w:rsidR="00DA7D33" w:rsidRDefault="00DA7D33" w:rsidP="00DA7D33">
      <w:pPr>
        <w:pStyle w:val="BodyText"/>
        <w:jc w:val="center"/>
      </w:pPr>
      <w:r>
        <w:rPr>
          <w:noProof/>
        </w:rPr>
        <w:drawing>
          <wp:inline distT="0" distB="0" distL="0" distR="0" wp14:anchorId="5639D029" wp14:editId="6E7256AB">
            <wp:extent cx="3345012" cy="238747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45012" cy="2387470"/>
                    </a:xfrm>
                    <a:prstGeom prst="rect">
                      <a:avLst/>
                    </a:prstGeom>
                  </pic:spPr>
                </pic:pic>
              </a:graphicData>
            </a:graphic>
          </wp:inline>
        </w:drawing>
      </w:r>
    </w:p>
    <w:p w14:paraId="6BC3AC8B" w14:textId="2607FF47" w:rsidR="00DA7D33" w:rsidRPr="00DA7D33" w:rsidRDefault="00DA7D33" w:rsidP="0041600C">
      <w:pPr>
        <w:pStyle w:val="Caption"/>
        <w:jc w:val="center"/>
        <w:rPr>
          <w:rFonts w:ascii="Times New Roman" w:hAnsi="Times New Roman"/>
          <w:lang w:eastAsia="en-US"/>
        </w:rPr>
      </w:pPr>
      <w:bookmarkStart w:id="0" w:name="_Ref10730297"/>
      <w:r>
        <w:t xml:space="preserve">Figure </w:t>
      </w:r>
      <w:r w:rsidR="00FE4A0B">
        <w:fldChar w:fldCharType="begin"/>
      </w:r>
      <w:r w:rsidR="00FE4A0B">
        <w:instrText xml:space="preserve"> SEQ Figure \*</w:instrText>
      </w:r>
      <w:r w:rsidR="00FE4A0B">
        <w:instrText xml:space="preserve"> ARABIC </w:instrText>
      </w:r>
      <w:r w:rsidR="00FE4A0B">
        <w:fldChar w:fldCharType="separate"/>
      </w:r>
      <w:r w:rsidR="001B2582">
        <w:rPr>
          <w:noProof/>
        </w:rPr>
        <w:t>1</w:t>
      </w:r>
      <w:r w:rsidR="00FE4A0B">
        <w:rPr>
          <w:noProof/>
        </w:rPr>
        <w:fldChar w:fldCharType="end"/>
      </w:r>
      <w:bookmarkEnd w:id="0"/>
      <w:r>
        <w:t xml:space="preserve">: Typical PhotonAssay sample presentation </w:t>
      </w:r>
      <w:r w:rsidR="0041600C">
        <w:t>(jar lid removed to display contents</w:t>
      </w:r>
      <w:r w:rsidR="005C31DE">
        <w:t xml:space="preserve"> of approximately 0.45kg subsample</w:t>
      </w:r>
      <w:r w:rsidR="0041600C">
        <w:t>).</w:t>
      </w:r>
    </w:p>
    <w:p w14:paraId="59521B5A" w14:textId="22278579" w:rsidR="009B416D" w:rsidRDefault="009B416D" w:rsidP="009B416D">
      <w:pPr>
        <w:pStyle w:val="BodyText"/>
        <w:jc w:val="both"/>
      </w:pPr>
      <w:r>
        <w:t xml:space="preserve">The sample is exposed to an intense, high-energy X-ray beam produced by a linear accelerator. The accelerator energy is 8.5 MeV, which is about 100 times higher than the energies typically used for conventional </w:t>
      </w:r>
      <w:r w:rsidR="00760C03">
        <w:t>X</w:t>
      </w:r>
      <w:r>
        <w:t>-ray fluorescence (XRF) analysis. The X-ray energy is high enough to induce short-lived changes in the nuclear structure of some elements, producing unstable isotopes. These isotopes have half-lives typically ranging from seconds to minutes and when they decay, produce characteristic gamma-ray signatures that can be measured and counted. The gamma-ray intensity can then be related back to the concentration of the responsible element.</w:t>
      </w:r>
    </w:p>
    <w:p w14:paraId="772A7DB8" w14:textId="08216346" w:rsidR="00BE78F9" w:rsidRDefault="00BE78F9" w:rsidP="008D60B5">
      <w:pPr>
        <w:pStyle w:val="BodyText"/>
        <w:jc w:val="both"/>
      </w:pPr>
      <w:r>
        <w:t>Consider</w:t>
      </w:r>
      <w:r w:rsidR="009B416D">
        <w:t xml:space="preserve"> the case</w:t>
      </w:r>
      <w:r>
        <w:t xml:space="preserve"> of</w:t>
      </w:r>
      <w:r w:rsidR="009B416D">
        <w:t xml:space="preserve"> </w:t>
      </w:r>
      <w:r>
        <w:t xml:space="preserve">gold, which </w:t>
      </w:r>
      <w:r w:rsidR="009B416D">
        <w:t xml:space="preserve">in nature </w:t>
      </w:r>
      <w:r>
        <w:t xml:space="preserve">consists </w:t>
      </w:r>
      <w:r w:rsidR="00DA7D33">
        <w:t>entirely</w:t>
      </w:r>
      <w:r>
        <w:t xml:space="preserve"> of the isotope </w:t>
      </w:r>
      <w:r>
        <w:rPr>
          <w:vertAlign w:val="superscript"/>
        </w:rPr>
        <w:t>197</w:t>
      </w:r>
      <w:r>
        <w:t xml:space="preserve">Au. X-rays excite a so-called </w:t>
      </w:r>
      <w:r w:rsidR="00DA7D33">
        <w:t>meta-</w:t>
      </w:r>
      <w:r>
        <w:t>state in</w:t>
      </w:r>
      <w:r w:rsidR="009B416D">
        <w:t xml:space="preserve"> the </w:t>
      </w:r>
      <w:r w:rsidR="009B416D">
        <w:rPr>
          <w:vertAlign w:val="superscript"/>
        </w:rPr>
        <w:t>197</w:t>
      </w:r>
      <w:r w:rsidR="009B416D">
        <w:t>Au nucleus</w:t>
      </w:r>
      <w:r>
        <w:t xml:space="preserve"> with a half-life of 7.73 s; this state decays and emits a gamma-ray having an energy of 279 keV:</w:t>
      </w:r>
    </w:p>
    <w:p w14:paraId="53DB157A" w14:textId="37D85C72" w:rsidR="00BE78F9" w:rsidRDefault="00DA7D33" w:rsidP="008238DA">
      <w:pPr>
        <w:pStyle w:val="BodyText"/>
      </w:pPr>
      <w:r>
        <w:tab/>
      </w:r>
      <w:r>
        <w:tab/>
      </w:r>
      <m:oMath>
        <m:sPre>
          <m:sPrePr>
            <m:ctrlPr>
              <w:rPr>
                <w:rFonts w:ascii="Cambria Math" w:hAnsi="Cambria Math"/>
                <w:i/>
              </w:rPr>
            </m:ctrlPr>
          </m:sPrePr>
          <m:sub/>
          <m:sup>
            <m:r>
              <m:rPr>
                <m:nor/>
              </m:rPr>
              <w:rPr>
                <w:rFonts w:ascii="Cambria Math" w:hAnsi="Cambria Math"/>
              </w:rPr>
              <m:t>197</m:t>
            </m:r>
          </m:sup>
          <m:e>
            <m:r>
              <m:rPr>
                <m:nor/>
              </m:rPr>
              <w:rPr>
                <w:rFonts w:ascii="Cambria Math" w:hAnsi="Cambria Math"/>
              </w:rPr>
              <m:t>Au</m:t>
            </m:r>
          </m:e>
        </m:sPre>
        <m:box>
          <m:boxPr>
            <m:opEmu m:val="1"/>
            <m:ctrlPr>
              <w:rPr>
                <w:rFonts w:ascii="Cambria Math" w:hAnsi="Cambria Math"/>
                <w:i/>
              </w:rPr>
            </m:ctrlPr>
          </m:boxPr>
          <m:e>
            <m:groupChr>
              <m:groupChrPr>
                <m:chr m:val="→"/>
                <m:vertJc m:val="bot"/>
                <m:ctrlPr>
                  <w:rPr>
                    <w:rFonts w:ascii="Cambria Math" w:hAnsi="Cambria Math"/>
                    <w:i/>
                  </w:rPr>
                </m:ctrlPr>
              </m:groupChrPr>
              <m:e>
                <m:r>
                  <m:rPr>
                    <m:nor/>
                  </m:rPr>
                  <w:rPr>
                    <w:rFonts w:ascii="Cambria Math" w:hAnsi="Cambria Math"/>
                  </w:rPr>
                  <m:t>X-ray</m:t>
                </m:r>
              </m:e>
            </m:groupChr>
          </m:e>
        </m:box>
        <m:sPre>
          <m:sPrePr>
            <m:ctrlPr>
              <w:rPr>
                <w:rFonts w:ascii="Cambria Math" w:hAnsi="Cambria Math"/>
                <w:i/>
              </w:rPr>
            </m:ctrlPr>
          </m:sPrePr>
          <m:sub/>
          <m:sup>
            <m:r>
              <m:rPr>
                <m:nor/>
              </m:rPr>
              <w:rPr>
                <w:rFonts w:ascii="Cambria Math" w:hAnsi="Cambria Math"/>
              </w:rPr>
              <m:t>197M</m:t>
            </m:r>
          </m:sup>
          <m:e>
            <m:r>
              <m:rPr>
                <m:nor/>
              </m:rPr>
              <w:rPr>
                <w:rFonts w:ascii="Cambria Math" w:hAnsi="Cambria Math"/>
              </w:rPr>
              <m:t>Au</m:t>
            </m:r>
            <m:groupChr>
              <m:groupChrPr>
                <m:chr m:val="→"/>
                <m:vertJc m:val="bot"/>
                <m:ctrlPr>
                  <w:rPr>
                    <w:rFonts w:ascii="Cambria Math" w:hAnsi="Cambria Math"/>
                    <w:i/>
                  </w:rPr>
                </m:ctrlPr>
              </m:groupChrPr>
              <m:e>
                <m:r>
                  <m:rPr>
                    <m:nor/>
                  </m:rPr>
                  <w:rPr>
                    <w:rFonts w:ascii="Cambria Math" w:hAnsi="Cambria Math"/>
                  </w:rPr>
                  <m:t>7.73 s</m:t>
                </m:r>
              </m:e>
            </m:groupChr>
            <m:sPre>
              <m:sPrePr>
                <m:ctrlPr>
                  <w:rPr>
                    <w:rFonts w:ascii="Cambria Math" w:hAnsi="Cambria Math"/>
                    <w:i/>
                  </w:rPr>
                </m:ctrlPr>
              </m:sPrePr>
              <m:sub/>
              <m:sup>
                <m:r>
                  <m:rPr>
                    <m:nor/>
                  </m:rPr>
                  <w:rPr>
                    <w:rFonts w:ascii="Cambria Math" w:hAnsi="Cambria Math"/>
                  </w:rPr>
                  <m:t>197</m:t>
                </m:r>
              </m:sup>
              <m:e>
                <m:r>
                  <m:rPr>
                    <m:nor/>
                  </m:rPr>
                  <w:rPr>
                    <w:rFonts w:ascii="Cambria Math" w:hAnsi="Cambria Math"/>
                  </w:rPr>
                  <m:t>Au</m:t>
                </m:r>
              </m:e>
            </m:sPre>
            <m:r>
              <m:rPr>
                <m:nor/>
              </m:rPr>
              <w:rPr>
                <w:rFonts w:ascii="Cambria Math" w:hAnsi="Cambria Math"/>
              </w:rPr>
              <m:t>+γ(279 keV)</m:t>
            </m:r>
          </m:e>
        </m:sPre>
      </m:oMath>
    </w:p>
    <w:p w14:paraId="4545BE4B" w14:textId="17D50F27" w:rsidR="0041600C" w:rsidRDefault="0041600C" w:rsidP="008D60B5">
      <w:pPr>
        <w:pStyle w:val="BodyText"/>
        <w:jc w:val="both"/>
      </w:pPr>
      <w:r>
        <w:t xml:space="preserve">In practical operation, a detection cycle comprises a 15 s irradiation period followed by a 15 s measurement. Repeating the process and averaging the results improves the measurement precision. A standard gold analysis (SGA) uses two cycles </w:t>
      </w:r>
      <w:r w:rsidR="0066560B">
        <w:t>which</w:t>
      </w:r>
      <w:r>
        <w:t xml:space="preserve"> affords an overall throughput of 72 samples per hour. Improved precision can be achieved by increas</w:t>
      </w:r>
      <w:r w:rsidR="001A1451">
        <w:t>ing</w:t>
      </w:r>
      <w:r>
        <w:t xml:space="preserve"> the number of detection cycles, at the cost of throughput. The entire process is fully automated, with operators required </w:t>
      </w:r>
      <w:r w:rsidR="0066560B">
        <w:t xml:space="preserve">only </w:t>
      </w:r>
      <w:r>
        <w:t>to load and unload samples from the instrument (</w:t>
      </w:r>
      <w:r w:rsidR="008D60B5">
        <w:t>F</w:t>
      </w:r>
      <w:r>
        <w:t>igure 2).</w:t>
      </w:r>
    </w:p>
    <w:p w14:paraId="3DD46F50" w14:textId="40C957F9" w:rsidR="0041600C" w:rsidRDefault="0041600C" w:rsidP="0041600C">
      <w:pPr>
        <w:pStyle w:val="BodyText"/>
        <w:jc w:val="center"/>
        <w:rPr>
          <w:vertAlign w:val="superscript"/>
        </w:rPr>
      </w:pPr>
      <w:r>
        <w:rPr>
          <w:noProof/>
        </w:rPr>
        <w:drawing>
          <wp:inline distT="0" distB="0" distL="0" distR="0" wp14:anchorId="344DBDF2" wp14:editId="4F404ED4">
            <wp:extent cx="4548880" cy="25427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48880" cy="2542773"/>
                    </a:xfrm>
                    <a:prstGeom prst="rect">
                      <a:avLst/>
                    </a:prstGeom>
                  </pic:spPr>
                </pic:pic>
              </a:graphicData>
            </a:graphic>
          </wp:inline>
        </w:drawing>
      </w:r>
    </w:p>
    <w:p w14:paraId="0740CC6B" w14:textId="2CC9A9FF" w:rsidR="0041600C" w:rsidRPr="00DA7D33" w:rsidRDefault="0041600C" w:rsidP="0041600C">
      <w:pPr>
        <w:pStyle w:val="Caption"/>
        <w:jc w:val="center"/>
        <w:rPr>
          <w:vertAlign w:val="superscript"/>
        </w:rPr>
      </w:pPr>
      <w:r>
        <w:t xml:space="preserve">Figure </w:t>
      </w:r>
      <w:r w:rsidR="00FE4A0B">
        <w:fldChar w:fldCharType="begin"/>
      </w:r>
      <w:r w:rsidR="00FE4A0B">
        <w:instrText xml:space="preserve"> SEQ Figure \* ARABIC </w:instrText>
      </w:r>
      <w:r w:rsidR="00FE4A0B">
        <w:fldChar w:fldCharType="separate"/>
      </w:r>
      <w:r w:rsidR="001B2582">
        <w:rPr>
          <w:noProof/>
        </w:rPr>
        <w:t>2</w:t>
      </w:r>
      <w:r w:rsidR="00FE4A0B">
        <w:rPr>
          <w:noProof/>
        </w:rPr>
        <w:fldChar w:fldCharType="end"/>
      </w:r>
      <w:r>
        <w:t>. PhotonAssay instrument. Samples are loaded onto the input conveyor (left) and retrieved from the output conveyor (right) once analysis is complete. The control console (centre) provides an overview of operations.</w:t>
      </w:r>
    </w:p>
    <w:p w14:paraId="025F5FAE" w14:textId="6901A205" w:rsidR="00DA7D33" w:rsidRDefault="00DA7D33" w:rsidP="008D60B5">
      <w:pPr>
        <w:pStyle w:val="BodyText"/>
        <w:jc w:val="both"/>
      </w:pPr>
      <w:r>
        <w:lastRenderedPageBreak/>
        <w:t xml:space="preserve">Both the incident X-rays and the emitted 279 keV gamma-ray are highly penetrating in typical ores, meaning that the entire volume of material inside the sample jar is measured. </w:t>
      </w:r>
      <w:r w:rsidR="0041600C">
        <w:t xml:space="preserve">The </w:t>
      </w:r>
      <w:r>
        <w:t xml:space="preserve">X-rays and gamma-rays also easily </w:t>
      </w:r>
      <w:r w:rsidR="0041600C">
        <w:t>pass through</w:t>
      </w:r>
      <w:r>
        <w:t xml:space="preserve"> the plastic </w:t>
      </w:r>
      <w:r w:rsidR="009B416D">
        <w:t>container</w:t>
      </w:r>
      <w:r>
        <w:t xml:space="preserve">, so the material can </w:t>
      </w:r>
      <w:r w:rsidR="009B416D">
        <w:t>remain</w:t>
      </w:r>
      <w:r>
        <w:t xml:space="preserve"> packaged throughout the irradiation and measurement steps, reducing the risk of cross-contamination</w:t>
      </w:r>
      <w:r w:rsidR="009B416D">
        <w:t xml:space="preserve"> between samples</w:t>
      </w:r>
      <w:r>
        <w:t>.</w:t>
      </w:r>
    </w:p>
    <w:p w14:paraId="17978BB1" w14:textId="2ED5EA94" w:rsidR="0041600C" w:rsidRDefault="0041600C" w:rsidP="008D60B5">
      <w:pPr>
        <w:pStyle w:val="BodyText"/>
        <w:jc w:val="both"/>
      </w:pPr>
      <w:r>
        <w:t>The analysis is also insensitive to the particle size of the material being assayed, so rock chips or even larger individual rocks can be measured. In practice, sampling considerations, discussed at length in</w:t>
      </w:r>
      <w:r w:rsidR="008D60B5">
        <w:t xml:space="preserve"> the</w:t>
      </w:r>
      <w:r>
        <w:t xml:space="preserve"> following sections, dictate the maximum acceptable particle size. The measurement is also insensitive to the sample matrix, meaning that different rock types, process materials, solutions and carbon pulps can be assayed with equal felicity.</w:t>
      </w:r>
    </w:p>
    <w:p w14:paraId="326130FB" w14:textId="38F21613" w:rsidR="0041600C" w:rsidRDefault="0041600C" w:rsidP="008D60B5">
      <w:pPr>
        <w:pStyle w:val="BodyText"/>
        <w:jc w:val="both"/>
      </w:pPr>
      <w:r>
        <w:t xml:space="preserve">X-ray levels outside the unit are low enough for operators to safely work nearby without requiring any special </w:t>
      </w:r>
      <w:r w:rsidR="00710A5A">
        <w:t>precautions or monitoring. Similarly, residual activity in the samples in negligible and assayed materials can be safely handled, stored, disposed of or sent for other testing as required.</w:t>
      </w:r>
    </w:p>
    <w:p w14:paraId="06B979B5" w14:textId="2A8BB4E7" w:rsidR="008238DA" w:rsidRDefault="00DF1266" w:rsidP="008238DA">
      <w:pPr>
        <w:pStyle w:val="Heading1"/>
      </w:pPr>
      <w:r>
        <w:t>INSTRUMENT ASSAY</w:t>
      </w:r>
      <w:r w:rsidR="00710A5A">
        <w:t xml:space="preserve"> PERFORMANCe</w:t>
      </w:r>
    </w:p>
    <w:p w14:paraId="5EDFD096" w14:textId="1916837D" w:rsidR="008238DA" w:rsidRDefault="00090571" w:rsidP="008D60B5">
      <w:pPr>
        <w:pStyle w:val="BodyText"/>
        <w:jc w:val="both"/>
      </w:pPr>
      <w:r>
        <w:t xml:space="preserve">Initial </w:t>
      </w:r>
      <w:r w:rsidR="005E2871">
        <w:t>validation</w:t>
      </w:r>
      <w:r>
        <w:t xml:space="preserve"> of the performance of the PhotonAssay technology was carried out during factory testing. Certified reference materials (CRMs) are ideal for establishing instrument performance, as they consist of finely pulverised, highly uniform material with accurately known gold content</w:t>
      </w:r>
      <w:r w:rsidR="005E2871">
        <w:t>s</w:t>
      </w:r>
      <w:r>
        <w:t xml:space="preserve">. As such, they allow instrument precision and accuracy to be determined without consideration of sampling errors. </w:t>
      </w:r>
    </w:p>
    <w:p w14:paraId="05FC352D" w14:textId="7EB1852F" w:rsidR="00090571" w:rsidRDefault="00090571" w:rsidP="008D60B5">
      <w:pPr>
        <w:pStyle w:val="BodyText"/>
        <w:jc w:val="both"/>
      </w:pPr>
      <w:r>
        <w:t xml:space="preserve">A large suite of CRMs was procured from 4 manufacturers: </w:t>
      </w:r>
      <w:r w:rsidR="008D60B5">
        <w:t>Ore Research &amp; Exploration (</w:t>
      </w:r>
      <w:r>
        <w:t>OREAS</w:t>
      </w:r>
      <w:r w:rsidR="008D60B5">
        <w:t>)</w:t>
      </w:r>
      <w:r>
        <w:t xml:space="preserve">, </w:t>
      </w:r>
      <w:proofErr w:type="spellStart"/>
      <w:r>
        <w:t>Rocklabs</w:t>
      </w:r>
      <w:proofErr w:type="spellEnd"/>
      <w:r>
        <w:t xml:space="preserve">, Gannet Holdings and </w:t>
      </w:r>
      <w:r w:rsidR="008D60B5">
        <w:t>African Mineral Standards (</w:t>
      </w:r>
      <w:r>
        <w:t>AMIS</w:t>
      </w:r>
      <w:r w:rsidR="008D60B5">
        <w:t>)</w:t>
      </w:r>
      <w:r>
        <w:t>. The materials were chosen to cover a wide range of gold grades (0.065-322 ppm) and ore matrix types</w:t>
      </w:r>
      <w:r w:rsidR="005F4339">
        <w:t>,</w:t>
      </w:r>
      <w:r>
        <w:t xml:space="preserve"> including silicate ores, sulphide ores</w:t>
      </w:r>
      <w:r w:rsidR="005F4339">
        <w:t>,</w:t>
      </w:r>
      <w:r>
        <w:t xml:space="preserve"> and gold, gold-copper and polymetallic process concentrates. </w:t>
      </w:r>
    </w:p>
    <w:p w14:paraId="3DD75CCF" w14:textId="2CDABC48" w:rsidR="00971E82" w:rsidRDefault="00971E82" w:rsidP="008D60B5">
      <w:pPr>
        <w:pStyle w:val="BodyText"/>
        <w:jc w:val="both"/>
      </w:pPr>
      <w:r>
        <w:fldChar w:fldCharType="begin"/>
      </w:r>
      <w:r>
        <w:instrText xml:space="preserve"> REF _Ref10732219 \h </w:instrText>
      </w:r>
      <w:r w:rsidR="008D60B5">
        <w:instrText xml:space="preserve"> \* MERGEFORMAT </w:instrText>
      </w:r>
      <w:r>
        <w:fldChar w:fldCharType="separate"/>
      </w:r>
      <w:r>
        <w:t xml:space="preserve">Figure </w:t>
      </w:r>
      <w:r>
        <w:rPr>
          <w:noProof/>
        </w:rPr>
        <w:t>3</w:t>
      </w:r>
      <w:r>
        <w:fldChar w:fldCharType="end"/>
      </w:r>
      <w:r>
        <w:t xml:space="preserve"> presents a graphical comparison of gold grades determined using PhotonAssay and the certified grades supplied by the manufacturers, generally estimated from a round-robin comparison of fire-assay results provided by a large number of reputable laboratories. Over nearly </w:t>
      </w:r>
      <w:r w:rsidR="005C31DE">
        <w:t>four</w:t>
      </w:r>
      <w:r w:rsidR="005E2871">
        <w:t xml:space="preserve"> </w:t>
      </w:r>
      <w:r>
        <w:t>orders of magnitude in gold grade (</w:t>
      </w:r>
      <w:r w:rsidR="00B11B06">
        <w:t>left</w:t>
      </w:r>
      <w:r>
        <w:t xml:space="preserve"> plot), excellent linearity is observed using a single instrument calibration. Good performance is also obtained for samples significantly below 1 ppm concentration (</w:t>
      </w:r>
      <w:r w:rsidR="00B11B06">
        <w:t>right</w:t>
      </w:r>
      <w:r>
        <w:t xml:space="preserve"> plot).</w:t>
      </w:r>
    </w:p>
    <w:p w14:paraId="4E9575FA" w14:textId="38AA4FB0" w:rsidR="00971E82" w:rsidRDefault="00971E82" w:rsidP="008D60B5">
      <w:pPr>
        <w:pStyle w:val="BodyText"/>
        <w:jc w:val="both"/>
      </w:pPr>
      <w:r>
        <w:t xml:space="preserve">For samples with low levels of the elements </w:t>
      </w:r>
      <w:r w:rsidR="008D60B5">
        <w:t>Uranium (</w:t>
      </w:r>
      <w:r>
        <w:t>U</w:t>
      </w:r>
      <w:r w:rsidR="008D60B5">
        <w:t>)</w:t>
      </w:r>
      <w:r>
        <w:t xml:space="preserve">, </w:t>
      </w:r>
      <w:r w:rsidR="008D60B5">
        <w:t>Thorium (</w:t>
      </w:r>
      <w:r>
        <w:t>Th</w:t>
      </w:r>
      <w:r w:rsidR="008D60B5">
        <w:t>)</w:t>
      </w:r>
      <w:r>
        <w:t xml:space="preserve"> and </w:t>
      </w:r>
      <w:r w:rsidR="008D60B5">
        <w:t>Barium (</w:t>
      </w:r>
      <w:r>
        <w:t>Ba</w:t>
      </w:r>
      <w:r w:rsidR="008D60B5">
        <w:t>)</w:t>
      </w:r>
      <w:r>
        <w:t xml:space="preserve">, the 3-sigma detection limit for gold with a standard 2-cycle analysis is below 0.03 ppm. Here, ‘low’ means a combined U + Th level of less than </w:t>
      </w:r>
      <w:r w:rsidR="005E2871">
        <w:t>5</w:t>
      </w:r>
      <w:r w:rsidR="0066560B">
        <w:t xml:space="preserve"> </w:t>
      </w:r>
      <w:r>
        <w:t>ppm</w:t>
      </w:r>
      <w:r w:rsidR="00DF1266">
        <w:t xml:space="preserve"> and a Ba level below 1000 ppm. </w:t>
      </w:r>
      <w:r w:rsidR="005F4339">
        <w:t>E</w:t>
      </w:r>
      <w:r w:rsidR="00DF1266">
        <w:t>levated levels of these interfering elements increase the detection limit, as they are activated by the X-ray beam and increase background levels beneath the gold gamma-ray signal</w:t>
      </w:r>
      <w:r w:rsidR="00B11B06">
        <w:t>.</w:t>
      </w:r>
      <w:r w:rsidR="005F4339">
        <w:t xml:space="preserve"> </w:t>
      </w:r>
      <w:r w:rsidR="00B11B06">
        <w:t>However, they</w:t>
      </w:r>
      <w:r w:rsidR="005F4339">
        <w:t xml:space="preserve"> do not preclude sample analysis.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5F4339" w14:paraId="1ACA09C7" w14:textId="77777777" w:rsidTr="00E11A97">
        <w:tc>
          <w:tcPr>
            <w:tcW w:w="4530" w:type="dxa"/>
          </w:tcPr>
          <w:p w14:paraId="5795129C" w14:textId="765DBB9E" w:rsidR="005F4339" w:rsidRDefault="005F4339" w:rsidP="00E11A97">
            <w:pPr>
              <w:pStyle w:val="BodyText"/>
              <w:jc w:val="center"/>
            </w:pPr>
            <w:r>
              <w:rPr>
                <w:noProof/>
              </w:rPr>
              <w:drawing>
                <wp:inline distT="0" distB="0" distL="0" distR="0" wp14:anchorId="04F38CB8" wp14:editId="22726391">
                  <wp:extent cx="2488688" cy="2430384"/>
                  <wp:effectExtent l="0" t="0" r="6985" b="8255"/>
                  <wp:docPr id="22" name="Picture 22" descr="A ma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png"/>
                          <pic:cNvPicPr/>
                        </pic:nvPicPr>
                        <pic:blipFill rotWithShape="1">
                          <a:blip r:embed="rId10" cstate="print">
                            <a:extLst>
                              <a:ext uri="{28A0092B-C50C-407E-A947-70E740481C1C}">
                                <a14:useLocalDpi xmlns:a14="http://schemas.microsoft.com/office/drawing/2010/main"/>
                              </a:ext>
                            </a:extLst>
                          </a:blip>
                          <a:srcRect l="11967" t="5001" r="15154"/>
                          <a:stretch/>
                        </pic:blipFill>
                        <pic:spPr bwMode="auto">
                          <a:xfrm>
                            <a:off x="0" y="0"/>
                            <a:ext cx="2501778" cy="2443167"/>
                          </a:xfrm>
                          <a:prstGeom prst="rect">
                            <a:avLst/>
                          </a:prstGeom>
                          <a:ln>
                            <a:noFill/>
                          </a:ln>
                          <a:extLst>
                            <a:ext uri="{53640926-AAD7-44D8-BBD7-CCE9431645EC}">
                              <a14:shadowObscured xmlns:a14="http://schemas.microsoft.com/office/drawing/2010/main"/>
                            </a:ext>
                          </a:extLst>
                        </pic:spPr>
                      </pic:pic>
                    </a:graphicData>
                  </a:graphic>
                </wp:inline>
              </w:drawing>
            </w:r>
          </w:p>
        </w:tc>
        <w:tc>
          <w:tcPr>
            <w:tcW w:w="4542" w:type="dxa"/>
          </w:tcPr>
          <w:p w14:paraId="0CF7D599" w14:textId="1D92F418" w:rsidR="005F4339" w:rsidRDefault="005F4339" w:rsidP="00E11A97">
            <w:pPr>
              <w:pStyle w:val="BodyText"/>
              <w:jc w:val="center"/>
            </w:pPr>
            <w:r>
              <w:rPr>
                <w:noProof/>
              </w:rPr>
              <w:drawing>
                <wp:inline distT="0" distB="0" distL="0" distR="0" wp14:anchorId="29AB02B4" wp14:editId="03BE9CFA">
                  <wp:extent cx="2469316" cy="2475538"/>
                  <wp:effectExtent l="0" t="0" r="7620" b="127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png"/>
                          <pic:cNvPicPr/>
                        </pic:nvPicPr>
                        <pic:blipFill rotWithShape="1">
                          <a:blip r:embed="rId11" cstate="print">
                            <a:extLst>
                              <a:ext uri="{28A0092B-C50C-407E-A947-70E740481C1C}">
                                <a14:useLocalDpi xmlns:a14="http://schemas.microsoft.com/office/drawing/2010/main"/>
                              </a:ext>
                            </a:extLst>
                          </a:blip>
                          <a:srcRect l="12682" t="4524" r="15869"/>
                          <a:stretch/>
                        </pic:blipFill>
                        <pic:spPr bwMode="auto">
                          <a:xfrm>
                            <a:off x="0" y="0"/>
                            <a:ext cx="2478468" cy="24847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C648BE" w14:textId="7EB02184" w:rsidR="00090571" w:rsidRDefault="00090571">
      <w:pPr>
        <w:pStyle w:val="Caption"/>
        <w:jc w:val="center"/>
      </w:pPr>
      <w:bookmarkStart w:id="1" w:name="_Ref10732219"/>
      <w:r>
        <w:t xml:space="preserve">Figure </w:t>
      </w:r>
      <w:r w:rsidR="00FE4A0B">
        <w:fldChar w:fldCharType="begin"/>
      </w:r>
      <w:r w:rsidR="00FE4A0B">
        <w:instrText xml:space="preserve"> SEQ Figure \* ARABIC </w:instrText>
      </w:r>
      <w:r w:rsidR="00FE4A0B">
        <w:fldChar w:fldCharType="separate"/>
      </w:r>
      <w:r w:rsidR="001B2582">
        <w:rPr>
          <w:noProof/>
        </w:rPr>
        <w:t>3</w:t>
      </w:r>
      <w:r w:rsidR="00FE4A0B">
        <w:rPr>
          <w:noProof/>
        </w:rPr>
        <w:fldChar w:fldCharType="end"/>
      </w:r>
      <w:bookmarkEnd w:id="1"/>
      <w:r>
        <w:t>. Comparison of PhotonAssay (y-axis) and certified gold grades (x-axis) for CRM samples provided by four manufacturers.</w:t>
      </w:r>
      <w:r w:rsidR="00971E82">
        <w:t xml:space="preserve"> The </w:t>
      </w:r>
      <w:r w:rsidR="005F4339">
        <w:t>left-hand</w:t>
      </w:r>
      <w:r w:rsidR="00971E82">
        <w:t xml:space="preserve"> plot shows results for all samples on a log-log scale</w:t>
      </w:r>
      <w:r w:rsidR="00DE631A">
        <w:t>, with grades marked in powers of 10</w:t>
      </w:r>
      <w:r w:rsidR="00971E82">
        <w:t xml:space="preserve">; the </w:t>
      </w:r>
      <w:r w:rsidR="005F4339">
        <w:t>right-hand</w:t>
      </w:r>
      <w:r w:rsidR="00971E82">
        <w:t xml:space="preserve"> plot emphasises performance for lower-grade samples on a linear-linear scale.</w:t>
      </w:r>
    </w:p>
    <w:p w14:paraId="4673D14D" w14:textId="21B84CF0" w:rsidR="00090571" w:rsidRDefault="00DF1266" w:rsidP="008D60B5">
      <w:pPr>
        <w:pStyle w:val="BodyText"/>
        <w:jc w:val="both"/>
      </w:pPr>
      <w:r>
        <w:lastRenderedPageBreak/>
        <w:t>The instrument’s precision (1 standard-deviation values) is about 8</w:t>
      </w:r>
      <w:r w:rsidR="005C31DE">
        <w:t xml:space="preserve"> percent</w:t>
      </w:r>
      <w:r>
        <w:t xml:space="preserve"> relative at 0.3 ppm, 4</w:t>
      </w:r>
      <w:r w:rsidR="005C31DE">
        <w:t xml:space="preserve"> percent</w:t>
      </w:r>
      <w:r>
        <w:t xml:space="preserve"> relative at 1.0 ppm and better than 2.5</w:t>
      </w:r>
      <w:r w:rsidR="005C31DE">
        <w:t xml:space="preserve"> percent</w:t>
      </w:r>
      <w:r>
        <w:t xml:space="preserve"> at grades above about 3 ppm. Again, significantly elevated levels of U, Th or Ba decrease precision, particularly at grades below 1 ppm.</w:t>
      </w:r>
    </w:p>
    <w:p w14:paraId="03C5A27C" w14:textId="23737BA7" w:rsidR="008238DA" w:rsidRDefault="008238DA" w:rsidP="008238DA">
      <w:pPr>
        <w:pStyle w:val="Heading1"/>
      </w:pPr>
      <w:r>
        <w:t>Sampling</w:t>
      </w:r>
      <w:r w:rsidR="005E2871">
        <w:t xml:space="preserve"> CONSIDERATIONs</w:t>
      </w:r>
    </w:p>
    <w:p w14:paraId="64115E5A" w14:textId="73194048" w:rsidR="00FC3636" w:rsidRDefault="005E2871" w:rsidP="00E11A97">
      <w:pPr>
        <w:pStyle w:val="BodyText"/>
        <w:jc w:val="both"/>
      </w:pPr>
      <w:r>
        <w:t xml:space="preserve">Any </w:t>
      </w:r>
      <w:r w:rsidR="005F4339">
        <w:t xml:space="preserve">measured </w:t>
      </w:r>
      <w:r>
        <w:t>sample is assumed to be representative of the larger mass of ore from which it is drawn. Historically, significant work has gone into developing</w:t>
      </w:r>
      <w:r w:rsidR="00C674F0">
        <w:t xml:space="preserve"> best practices for sampling gold</w:t>
      </w:r>
      <w:r>
        <w:t>-bearing materials</w:t>
      </w:r>
      <w:r w:rsidR="00C674F0">
        <w:t xml:space="preserve"> from the drill site to the lab</w:t>
      </w:r>
      <w:r>
        <w:t>oratory, and from the laboratory to the assay aliquot</w:t>
      </w:r>
      <w:r w:rsidR="006C5D98">
        <w:t xml:space="preserve"> (Lyman, 201</w:t>
      </w:r>
      <w:r w:rsidR="005C31DE">
        <w:t>1</w:t>
      </w:r>
      <w:r w:rsidR="006C5D98">
        <w:t>)</w:t>
      </w:r>
      <w:r w:rsidR="00C674F0">
        <w:t xml:space="preserve">.  </w:t>
      </w:r>
    </w:p>
    <w:p w14:paraId="3EFCDE26" w14:textId="2AC3F4A2" w:rsidR="00FB5108" w:rsidRDefault="00FB5108" w:rsidP="00C674F0">
      <w:pPr>
        <w:pStyle w:val="BodyText"/>
        <w:jc w:val="both"/>
      </w:pPr>
      <w:r>
        <w:t xml:space="preserve">For mining and exploration </w:t>
      </w:r>
      <w:r w:rsidR="005E2871">
        <w:t xml:space="preserve">work, </w:t>
      </w:r>
      <w:r>
        <w:t xml:space="preserve">most gold analysis is </w:t>
      </w:r>
      <w:r w:rsidR="005E2871">
        <w:t>performed</w:t>
      </w:r>
      <w:r>
        <w:t xml:space="preserve"> by </w:t>
      </w:r>
      <w:r w:rsidR="005E2871">
        <w:t>f</w:t>
      </w:r>
      <w:r>
        <w:t>ire</w:t>
      </w:r>
      <w:r w:rsidR="005E2871">
        <w:t>-a</w:t>
      </w:r>
      <w:r>
        <w:t>ssay at a commercial or on</w:t>
      </w:r>
      <w:r w:rsidR="005E2871">
        <w:t>-</w:t>
      </w:r>
      <w:r>
        <w:t>site laboratory.  Fire</w:t>
      </w:r>
      <w:r w:rsidR="005E2871">
        <w:t>-a</w:t>
      </w:r>
      <w:r>
        <w:t xml:space="preserve">ssay is a process of separating gold from the gangue </w:t>
      </w:r>
      <w:r w:rsidR="005E2871">
        <w:t xml:space="preserve">or </w:t>
      </w:r>
      <w:r>
        <w:t>commercially worthless material through fusion with lead</w:t>
      </w:r>
      <w:r w:rsidR="0013173A">
        <w:t>-</w:t>
      </w:r>
      <w:r>
        <w:t>based flux, separating the waste from the lead</w:t>
      </w:r>
      <w:r w:rsidR="0013173A">
        <w:t>,</w:t>
      </w:r>
      <w:r>
        <w:t xml:space="preserve"> and then melting the lead to reveal a silver “</w:t>
      </w:r>
      <w:proofErr w:type="spellStart"/>
      <w:r>
        <w:t>prill</w:t>
      </w:r>
      <w:proofErr w:type="spellEnd"/>
      <w:r>
        <w:t>” of encapsulated gold.   The industry standard is to use 5 to 50</w:t>
      </w:r>
      <w:r w:rsidR="0013173A">
        <w:t xml:space="preserve"> </w:t>
      </w:r>
      <w:r>
        <w:t>g of sample</w:t>
      </w:r>
      <w:r w:rsidR="0013173A">
        <w:t>,</w:t>
      </w:r>
      <w:r>
        <w:t xml:space="preserve"> depending on levels of sul</w:t>
      </w:r>
      <w:r w:rsidR="0013173A">
        <w:t>ph</w:t>
      </w:r>
      <w:r>
        <w:t>ur or nickel</w:t>
      </w:r>
      <w:r w:rsidR="0013173A">
        <w:t xml:space="preserve"> present and</w:t>
      </w:r>
      <w:r>
        <w:t xml:space="preserve"> the size of the pots that go into the fusion furnace.  </w:t>
      </w:r>
      <w:r w:rsidR="005F4339">
        <w:t>The</w:t>
      </w:r>
      <w:r w:rsidR="00B65B44">
        <w:t xml:space="preserve"> </w:t>
      </w:r>
      <w:r w:rsidR="00E66852">
        <w:t xml:space="preserve">maximum </w:t>
      </w:r>
      <w:r w:rsidR="00B65B44">
        <w:t>weigh</w:t>
      </w:r>
      <w:r w:rsidR="00E66852">
        <w:t>t</w:t>
      </w:r>
      <w:r w:rsidR="00B65B44">
        <w:t xml:space="preserve"> </w:t>
      </w:r>
      <w:r w:rsidR="00E66852">
        <w:t xml:space="preserve">of </w:t>
      </w:r>
      <w:r w:rsidR="0013173A">
        <w:t xml:space="preserve">about </w:t>
      </w:r>
      <w:r w:rsidR="00B65B44">
        <w:t>50</w:t>
      </w:r>
      <w:r w:rsidR="0013173A">
        <w:t xml:space="preserve"> </w:t>
      </w:r>
      <w:r w:rsidR="00B65B44">
        <w:t xml:space="preserve">g </w:t>
      </w:r>
      <w:r w:rsidR="005F4339">
        <w:t>means that</w:t>
      </w:r>
      <w:r w:rsidR="0013173A">
        <w:t xml:space="preserve"> sampling considerations </w:t>
      </w:r>
      <w:r w:rsidR="005F4339">
        <w:t>dictate</w:t>
      </w:r>
      <w:r w:rsidR="0013173A">
        <w:t xml:space="preserve"> that the</w:t>
      </w:r>
      <w:r w:rsidR="00E66852">
        <w:t xml:space="preserve"> </w:t>
      </w:r>
      <w:r w:rsidR="005F4339">
        <w:t>original b</w:t>
      </w:r>
      <w:r w:rsidR="00FC3636">
        <w:t>u</w:t>
      </w:r>
      <w:r w:rsidR="005F4339">
        <w:t xml:space="preserve">lk </w:t>
      </w:r>
      <w:r>
        <w:t>sample needs to be broken down to a nominal size of 75</w:t>
      </w:r>
      <w:r w:rsidR="0013173A">
        <w:t xml:space="preserve"> </w:t>
      </w:r>
      <w:r>
        <w:rPr>
          <w:rFonts w:cs="Arial"/>
        </w:rPr>
        <w:t>µ</w:t>
      </w:r>
      <w:r>
        <w:t>m</w:t>
      </w:r>
      <w:r w:rsidR="005F4339">
        <w:t xml:space="preserve"> before the assay aliquot is taken</w:t>
      </w:r>
      <w:r>
        <w:t>.</w:t>
      </w:r>
    </w:p>
    <w:p w14:paraId="05948B23" w14:textId="77E1BFBF" w:rsidR="00C674F0" w:rsidRDefault="0013173A" w:rsidP="00C674F0">
      <w:pPr>
        <w:pStyle w:val="BodyText"/>
        <w:jc w:val="both"/>
      </w:pPr>
      <w:r>
        <w:t xml:space="preserve">A sequential </w:t>
      </w:r>
      <w:r w:rsidR="005F4339">
        <w:t>particle-</w:t>
      </w:r>
      <w:r>
        <w:t xml:space="preserve">size and </w:t>
      </w:r>
      <w:r w:rsidR="005F4339">
        <w:t>sample-</w:t>
      </w:r>
      <w:r>
        <w:t xml:space="preserve">mass reduction process is used </w:t>
      </w:r>
      <w:r w:rsidR="00C674F0">
        <w:t>by most Australian laborator</w:t>
      </w:r>
      <w:r>
        <w:t xml:space="preserve">ies, </w:t>
      </w:r>
      <w:r w:rsidR="00FC3636">
        <w:t xml:space="preserve">where the </w:t>
      </w:r>
      <w:r>
        <w:t>received material</w:t>
      </w:r>
      <w:r w:rsidR="00FC3636">
        <w:t xml:space="preserve"> is</w:t>
      </w:r>
      <w:r>
        <w:t xml:space="preserve"> initially broken</w:t>
      </w:r>
      <w:r w:rsidR="00C674F0">
        <w:t xml:space="preserve"> down to </w:t>
      </w:r>
      <w:r>
        <w:t xml:space="preserve">a </w:t>
      </w:r>
      <w:r w:rsidR="00C674F0">
        <w:t>1</w:t>
      </w:r>
      <w:r w:rsidR="00FA05BF">
        <w:t>5</w:t>
      </w:r>
      <w:r>
        <w:t xml:space="preserve"> </w:t>
      </w:r>
      <w:r w:rsidR="00C674F0">
        <w:t xml:space="preserve">mm </w:t>
      </w:r>
      <w:r>
        <w:t>top-size, before being cr</w:t>
      </w:r>
      <w:r w:rsidR="00C674F0">
        <w:t>ush</w:t>
      </w:r>
      <w:r w:rsidR="001E668F">
        <w:t>ed</w:t>
      </w:r>
      <w:r w:rsidR="00C674F0">
        <w:t xml:space="preserve"> to 2</w:t>
      </w:r>
      <w:r w:rsidR="006C5D98">
        <w:t>-</w:t>
      </w:r>
      <w:r w:rsidR="00C674F0">
        <w:t>3</w:t>
      </w:r>
      <w:r>
        <w:t xml:space="preserve"> </w:t>
      </w:r>
      <w:r w:rsidR="00C674F0">
        <w:t>mm</w:t>
      </w:r>
      <w:r w:rsidR="00E66852">
        <w:t xml:space="preserve">.  </w:t>
      </w:r>
      <w:r>
        <w:t xml:space="preserve">In general, there is </w:t>
      </w:r>
      <w:r w:rsidR="00FC3636">
        <w:t xml:space="preserve">an </w:t>
      </w:r>
      <w:r>
        <w:t>agreement that breakdown to a 2-3 mm partic</w:t>
      </w:r>
      <w:r w:rsidR="005F4339">
        <w:t>l</w:t>
      </w:r>
      <w:r>
        <w:t>e top-size is advisable before any sampling</w:t>
      </w:r>
      <w:r w:rsidR="005F4339">
        <w:t xml:space="preserve"> takes place</w:t>
      </w:r>
      <w:r>
        <w:t>.  A sub-sample</w:t>
      </w:r>
      <w:r w:rsidR="005F4339">
        <w:t xml:space="preserve"> of 2-3 mm material</w:t>
      </w:r>
      <w:r>
        <w:t>, typically 1-3 kg</w:t>
      </w:r>
      <w:r w:rsidR="005F4339">
        <w:t>,</w:t>
      </w:r>
      <w:r>
        <w:t xml:space="preserve"> is then drawn for pulverisation. The</w:t>
      </w:r>
      <w:r w:rsidR="00C674F0">
        <w:t xml:space="preserve"> pulverising </w:t>
      </w:r>
      <w:r>
        <w:t>continues until</w:t>
      </w:r>
      <w:r w:rsidR="00C674F0">
        <w:t xml:space="preserve"> approximately 90</w:t>
      </w:r>
      <w:r w:rsidR="005C31DE">
        <w:t xml:space="preserve"> percent</w:t>
      </w:r>
      <w:r w:rsidR="00C674F0">
        <w:t xml:space="preserve"> </w:t>
      </w:r>
      <w:r>
        <w:t xml:space="preserve">of material </w:t>
      </w:r>
      <w:r w:rsidR="00C674F0">
        <w:t>pass</w:t>
      </w:r>
      <w:r>
        <w:t>es</w:t>
      </w:r>
      <w:r w:rsidR="00C674F0">
        <w:t xml:space="preserve"> 75</w:t>
      </w:r>
      <w:r>
        <w:t xml:space="preserve"> </w:t>
      </w:r>
      <w:r w:rsidR="00D771CD">
        <w:rPr>
          <w:rFonts w:cs="Arial"/>
        </w:rPr>
        <w:t>µ</w:t>
      </w:r>
      <w:r w:rsidR="00C674F0">
        <w:t xml:space="preserve">m, </w:t>
      </w:r>
      <w:r>
        <w:t xml:space="preserve">with the proportion </w:t>
      </w:r>
      <w:r w:rsidR="00C674F0">
        <w:t>slightly dependant on the host rock characterisation.</w:t>
      </w:r>
      <w:r>
        <w:t xml:space="preserve"> Whilst the pulverisation step is required for effective sampling of the small fire-assay aliquot, gold is malleable</w:t>
      </w:r>
      <w:r w:rsidR="005F4339">
        <w:t xml:space="preserve"> </w:t>
      </w:r>
      <w:r>
        <w:t>and so there is a risk of loss of gold through smearing and transfer to grinding equipment.</w:t>
      </w:r>
    </w:p>
    <w:p w14:paraId="7E37EF8B" w14:textId="43B7749D" w:rsidR="0013173A" w:rsidRDefault="0013173A" w:rsidP="00C674F0">
      <w:pPr>
        <w:pStyle w:val="BodyText"/>
        <w:jc w:val="both"/>
      </w:pPr>
      <w:r>
        <w:t>An important part of testing the applicability of PhotonAssay to gold analysis in mineral samples is to explore similarities and differences in sampling requirements compared to conventional fire-assay. In particular, does the larger sample volume (</w:t>
      </w:r>
      <w:r w:rsidR="005C31DE">
        <w:t>450</w:t>
      </w:r>
      <w:r>
        <w:t xml:space="preserve"> g) allow for simplified sampling protocols to be used without loss of precision?</w:t>
      </w:r>
    </w:p>
    <w:p w14:paraId="33AB3231" w14:textId="7D6427B1" w:rsidR="00D771CD" w:rsidRDefault="00760C03" w:rsidP="00C674F0">
      <w:pPr>
        <w:pStyle w:val="BodyText"/>
        <w:jc w:val="both"/>
      </w:pPr>
      <w:r>
        <w:t>François-</w:t>
      </w:r>
      <w:proofErr w:type="spellStart"/>
      <w:r>
        <w:t>Bongarçon</w:t>
      </w:r>
      <w:proofErr w:type="spellEnd"/>
      <w:r w:rsidRPr="00FB5108">
        <w:t xml:space="preserve"> </w:t>
      </w:r>
      <w:r w:rsidR="005C31DE">
        <w:t>and</w:t>
      </w:r>
      <w:r w:rsidR="00FB5108" w:rsidRPr="00FB5108">
        <w:t xml:space="preserve"> </w:t>
      </w:r>
      <w:proofErr w:type="spellStart"/>
      <w:r w:rsidR="00FB5108" w:rsidRPr="00FB5108">
        <w:t>Gy</w:t>
      </w:r>
      <w:proofErr w:type="spellEnd"/>
      <w:r w:rsidR="00FB5108" w:rsidRPr="00FB5108">
        <w:t xml:space="preserve"> (2002)</w:t>
      </w:r>
      <w:r w:rsidR="0013173A">
        <w:t xml:space="preserve"> </w:t>
      </w:r>
      <w:r w:rsidR="00FB5108" w:rsidRPr="00FB5108">
        <w:t xml:space="preserve">suggest that best practice is to </w:t>
      </w:r>
      <w:r w:rsidR="0013173A">
        <w:t>measure sampling</w:t>
      </w:r>
      <w:r w:rsidR="00FB5108" w:rsidRPr="00FB5108">
        <w:t xml:space="preserve"> variance </w:t>
      </w:r>
      <w:r w:rsidR="00FB5108">
        <w:t xml:space="preserve">at different particle sizes </w:t>
      </w:r>
      <w:r w:rsidR="0013173A">
        <w:t xml:space="preserve">for a </w:t>
      </w:r>
      <w:r w:rsidR="00FB5108" w:rsidRPr="00FB5108">
        <w:t>given ore body</w:t>
      </w:r>
      <w:r w:rsidR="00AF325B">
        <w:t xml:space="preserve"> is</w:t>
      </w:r>
      <w:r w:rsidR="00FB5108" w:rsidRPr="00FB5108">
        <w:t xml:space="preserve"> through analysis </w:t>
      </w:r>
      <w:r w:rsidR="00DF00D1">
        <w:t>of sub-samples, rather than relying on</w:t>
      </w:r>
      <w:r w:rsidR="00FB5108" w:rsidRPr="00FB5108">
        <w:t xml:space="preserve"> theoretical equations.</w:t>
      </w:r>
      <w:r w:rsidR="00FB5108">
        <w:t xml:space="preserve">  </w:t>
      </w:r>
      <w:r w:rsidR="00FB5108" w:rsidRPr="00FB5108">
        <w:t xml:space="preserve">The sampling tree method proposed by </w:t>
      </w:r>
      <w:r>
        <w:t>François-</w:t>
      </w:r>
      <w:proofErr w:type="spellStart"/>
      <w:r>
        <w:t>Bongarçon</w:t>
      </w:r>
      <w:proofErr w:type="spellEnd"/>
      <w:r w:rsidRPr="00FB5108">
        <w:t xml:space="preserve"> </w:t>
      </w:r>
      <w:r w:rsidR="00FB5108" w:rsidRPr="00FB5108">
        <w:t xml:space="preserve">(1995) and explored further by </w:t>
      </w:r>
      <w:proofErr w:type="spellStart"/>
      <w:r w:rsidR="001D3AC3" w:rsidRPr="00FB5108">
        <w:t>Minnitt</w:t>
      </w:r>
      <w:proofErr w:type="spellEnd"/>
      <w:r w:rsidR="001D3AC3" w:rsidRPr="00FB5108">
        <w:t xml:space="preserve"> (2007</w:t>
      </w:r>
      <w:r w:rsidR="001D3AC3">
        <w:t xml:space="preserve">a, 2007b), </w:t>
      </w:r>
      <w:proofErr w:type="spellStart"/>
      <w:r w:rsidR="001D3AC3">
        <w:t>Minnitt</w:t>
      </w:r>
      <w:proofErr w:type="spellEnd"/>
      <w:r w:rsidR="001D3AC3">
        <w:t xml:space="preserve"> and </w:t>
      </w:r>
      <w:proofErr w:type="spellStart"/>
      <w:r w:rsidR="001D3AC3" w:rsidRPr="001D3AC3">
        <w:t>Assibey</w:t>
      </w:r>
      <w:proofErr w:type="spellEnd"/>
      <w:r w:rsidR="001D3AC3" w:rsidRPr="001D3AC3">
        <w:t>-Bonsu</w:t>
      </w:r>
      <w:r w:rsidR="001D3AC3">
        <w:t xml:space="preserve"> (2010</w:t>
      </w:r>
      <w:r w:rsidR="001D3AC3">
        <w:t xml:space="preserve">) </w:t>
      </w:r>
      <w:r w:rsidR="00FB5108" w:rsidRPr="00FB5108">
        <w:t xml:space="preserve">utilises large quantities of drill sample </w:t>
      </w:r>
      <w:r w:rsidR="00441774">
        <w:t xml:space="preserve">that </w:t>
      </w:r>
      <w:r w:rsidR="005F4339">
        <w:t>are</w:t>
      </w:r>
      <w:r w:rsidR="00FB5108" w:rsidRPr="00FB5108">
        <w:t xml:space="preserve"> analysed at different particle sizes to determine </w:t>
      </w:r>
      <w:r w:rsidR="00441774">
        <w:t>the gold concentration and fundamental errors.</w:t>
      </w:r>
      <w:r w:rsidR="00FB5108">
        <w:t xml:space="preserve">  This is traditionally done </w:t>
      </w:r>
      <w:r w:rsidR="005F4339">
        <w:t xml:space="preserve">using </w:t>
      </w:r>
      <w:r w:rsidR="00FB5108">
        <w:t xml:space="preserve">a large number of </w:t>
      </w:r>
      <w:r w:rsidR="00DF00D1">
        <w:t>f</w:t>
      </w:r>
      <w:r w:rsidR="00FB5108">
        <w:t>ire</w:t>
      </w:r>
      <w:r w:rsidR="00DF00D1">
        <w:t>-a</w:t>
      </w:r>
      <w:r w:rsidR="00FB5108">
        <w:t>ssay analys</w:t>
      </w:r>
      <w:r w:rsidR="00DF00D1">
        <w:t>es,</w:t>
      </w:r>
      <w:r w:rsidR="00FB5108">
        <w:t xml:space="preserve"> with the </w:t>
      </w:r>
      <w:r w:rsidR="005F4339">
        <w:t xml:space="preserve">final </w:t>
      </w:r>
      <w:r w:rsidR="00FB5108">
        <w:t xml:space="preserve">gold values obtained through </w:t>
      </w:r>
      <w:r w:rsidR="00DF00D1">
        <w:t>f</w:t>
      </w:r>
      <w:r w:rsidR="00FB5108">
        <w:t xml:space="preserve">lame </w:t>
      </w:r>
      <w:r w:rsidR="00DF00D1">
        <w:t>a</w:t>
      </w:r>
      <w:r w:rsidR="00FB5108">
        <w:t xml:space="preserve">tomic </w:t>
      </w:r>
      <w:r w:rsidR="00DF00D1">
        <w:t>a</w:t>
      </w:r>
      <w:r w:rsidR="00FB5108">
        <w:t xml:space="preserve">bsorption or </w:t>
      </w:r>
      <w:r w:rsidR="00DF00D1">
        <w:t>g</w:t>
      </w:r>
      <w:r w:rsidR="00FB5108">
        <w:t xml:space="preserve">ravimetric </w:t>
      </w:r>
      <w:r w:rsidR="00DF00D1">
        <w:t>a</w:t>
      </w:r>
      <w:r w:rsidR="00FB5108">
        <w:t xml:space="preserve">nalysis.  </w:t>
      </w:r>
    </w:p>
    <w:p w14:paraId="4BF762DA" w14:textId="77CF6F51" w:rsidR="00DF00D1" w:rsidRDefault="00DF00D1" w:rsidP="00C674F0">
      <w:pPr>
        <w:pStyle w:val="BodyText"/>
        <w:jc w:val="both"/>
      </w:pPr>
      <w:r>
        <w:t>The</w:t>
      </w:r>
      <w:r w:rsidR="00FB5108">
        <w:t xml:space="preserve"> non-destructive nature </w:t>
      </w:r>
      <w:r>
        <w:t xml:space="preserve">of PhotonAssay analysis </w:t>
      </w:r>
      <w:r w:rsidR="00FB5108">
        <w:t xml:space="preserve">and </w:t>
      </w:r>
      <w:r>
        <w:t xml:space="preserve">the </w:t>
      </w:r>
      <w:r w:rsidR="00FB5108">
        <w:t xml:space="preserve">large sample size </w:t>
      </w:r>
      <w:r w:rsidR="005F4339">
        <w:t xml:space="preserve">measured </w:t>
      </w:r>
      <w:r>
        <w:t>mean that</w:t>
      </w:r>
      <w:r w:rsidR="00FB5108">
        <w:t xml:space="preserve"> we can follow the sample tree method without the errors introduced </w:t>
      </w:r>
      <w:r w:rsidR="005F4339">
        <w:t>by</w:t>
      </w:r>
      <w:r w:rsidR="00FB5108">
        <w:t xml:space="preserve"> </w:t>
      </w:r>
      <w:r>
        <w:t xml:space="preserve">working with </w:t>
      </w:r>
      <w:r w:rsidR="00FB5108">
        <w:t>different aliquots</w:t>
      </w:r>
      <w:r w:rsidR="00AF325B">
        <w:t>;</w:t>
      </w:r>
      <w:r>
        <w:t xml:space="preserve"> allowing a s</w:t>
      </w:r>
      <w:r w:rsidR="00FB5108">
        <w:t xml:space="preserve">maller </w:t>
      </w:r>
      <w:r w:rsidR="005F4339">
        <w:t xml:space="preserve">overall </w:t>
      </w:r>
      <w:r w:rsidR="00FB5108">
        <w:t>number of samples</w:t>
      </w:r>
      <w:r>
        <w:t xml:space="preserve"> to be used</w:t>
      </w:r>
      <w:r w:rsidR="00FB5108">
        <w:t xml:space="preserve">. </w:t>
      </w:r>
      <w:r>
        <w:t>W</w:t>
      </w:r>
      <w:r w:rsidR="001C5614">
        <w:t>orking with mining companies across Australia</w:t>
      </w:r>
      <w:r>
        <w:t>,</w:t>
      </w:r>
      <w:r w:rsidR="001C5614">
        <w:t xml:space="preserve"> we </w:t>
      </w:r>
      <w:r w:rsidR="006A70BB">
        <w:t xml:space="preserve">analysed samples by PhotonAssay </w:t>
      </w:r>
      <w:r>
        <w:t>that had been prepared to</w:t>
      </w:r>
      <w:r w:rsidR="006A70BB">
        <w:t xml:space="preserve"> different particle size</w:t>
      </w:r>
      <w:r w:rsidR="00E66852">
        <w:t>s</w:t>
      </w:r>
      <w:r w:rsidR="006A70BB">
        <w:t xml:space="preserve"> </w:t>
      </w:r>
      <w:r>
        <w:t xml:space="preserve">before sampling </w:t>
      </w:r>
      <w:r w:rsidR="006A70BB">
        <w:t xml:space="preserve">and looked at the correlation with fire assay results </w:t>
      </w:r>
      <w:r w:rsidR="005F4339">
        <w:t xml:space="preserve">performed </w:t>
      </w:r>
      <w:r w:rsidR="006A70BB">
        <w:t>on separate aliquot</w:t>
      </w:r>
      <w:r>
        <w:t>s</w:t>
      </w:r>
      <w:r w:rsidR="006A70BB">
        <w:t xml:space="preserve"> of </w:t>
      </w:r>
      <w:r>
        <w:t xml:space="preserve">pulverised </w:t>
      </w:r>
      <w:r w:rsidR="006A70BB">
        <w:t>75</w:t>
      </w:r>
      <w:r w:rsidR="006A70BB" w:rsidRPr="006A70BB">
        <w:rPr>
          <w:rFonts w:cs="Arial"/>
        </w:rPr>
        <w:t xml:space="preserve"> </w:t>
      </w:r>
      <w:r w:rsidR="006A70BB">
        <w:rPr>
          <w:rFonts w:cs="Arial"/>
        </w:rPr>
        <w:t>µ</w:t>
      </w:r>
      <w:r w:rsidR="006A70BB">
        <w:t xml:space="preserve">m material.  </w:t>
      </w:r>
    </w:p>
    <w:p w14:paraId="7B160A5C" w14:textId="19F6F93B" w:rsidR="00DF00D1" w:rsidRDefault="00DF00D1" w:rsidP="00DF00D1">
      <w:pPr>
        <w:pStyle w:val="BodyText"/>
        <w:jc w:val="both"/>
      </w:pPr>
      <w:r>
        <w:t>The larger sample size measured using the PhotonAssay machine is useful for reducing the fundamental sampling error</w:t>
      </w:r>
      <w:r w:rsidR="00AF325B">
        <w:t xml:space="preserve"> (</w:t>
      </w:r>
      <w:proofErr w:type="spellStart"/>
      <w:r w:rsidR="00AF325B">
        <w:t>Gy</w:t>
      </w:r>
      <w:proofErr w:type="spellEnd"/>
      <w:r w:rsidR="00AF325B">
        <w:t>, 1973)</w:t>
      </w:r>
      <w:r>
        <w:t xml:space="preserve">.  An investigation was performed to determine if a reduction in sample preparation, namely removing the pulverisation step to reduce time, cost and possible gold loss through smearing, is possible without adversely affecting sampling accuracy.  </w:t>
      </w:r>
    </w:p>
    <w:p w14:paraId="01F69E21" w14:textId="5B23ED31" w:rsidR="00762921" w:rsidRDefault="00DF00D1" w:rsidP="00DF00D1">
      <w:pPr>
        <w:pStyle w:val="BodyText"/>
        <w:jc w:val="both"/>
      </w:pPr>
      <w:r>
        <w:t xml:space="preserve">Approximately 1200 samples from 10 different drill sites were used in the study, with multiple PhotonAssay and fire-assay aliquots prepared from each sample. </w:t>
      </w:r>
      <w:r w:rsidR="00762921">
        <w:t xml:space="preserve">Figure 4 presents results for one drill-site, where PhotonAssay analysis results statistically matched those of fire-assay irrespective of the particle size.  </w:t>
      </w:r>
    </w:p>
    <w:p w14:paraId="186E25B9" w14:textId="16E33ABC" w:rsidR="00762921" w:rsidRDefault="008D1B44" w:rsidP="00AD1E92">
      <w:pPr>
        <w:keepNext/>
        <w:jc w:val="center"/>
      </w:pPr>
      <w:r>
        <w:rPr>
          <w:rFonts w:cs="Arial"/>
          <w:noProof/>
          <w:color w:val="000000"/>
          <w:sz w:val="22"/>
          <w:szCs w:val="22"/>
          <w:lang w:eastAsia="en-US"/>
        </w:rPr>
        <w:lastRenderedPageBreak/>
        <mc:AlternateContent>
          <mc:Choice Requires="wps">
            <w:drawing>
              <wp:anchor distT="0" distB="0" distL="114300" distR="114300" simplePos="0" relativeHeight="251661312" behindDoc="0" locked="0" layoutInCell="1" allowOverlap="1" wp14:anchorId="149609A5" wp14:editId="1CC6B4CC">
                <wp:simplePos x="0" y="0"/>
                <wp:positionH relativeFrom="column">
                  <wp:posOffset>3992614</wp:posOffset>
                </wp:positionH>
                <wp:positionV relativeFrom="paragraph">
                  <wp:posOffset>253242</wp:posOffset>
                </wp:positionV>
                <wp:extent cx="1577591" cy="884255"/>
                <wp:effectExtent l="0" t="0" r="10160" b="17780"/>
                <wp:wrapNone/>
                <wp:docPr id="9" name="Text Box 9"/>
                <wp:cNvGraphicFramePr/>
                <a:graphic xmlns:a="http://schemas.openxmlformats.org/drawingml/2006/main">
                  <a:graphicData uri="http://schemas.microsoft.com/office/word/2010/wordprocessingShape">
                    <wps:wsp>
                      <wps:cNvSpPr txBox="1"/>
                      <wps:spPr>
                        <a:xfrm>
                          <a:off x="0" y="0"/>
                          <a:ext cx="1577591" cy="884255"/>
                        </a:xfrm>
                        <a:prstGeom prst="rect">
                          <a:avLst/>
                        </a:prstGeom>
                        <a:solidFill>
                          <a:schemeClr val="lt1"/>
                        </a:solidFill>
                        <a:ln w="3175">
                          <a:solidFill>
                            <a:schemeClr val="tx1"/>
                          </a:solidFill>
                        </a:ln>
                      </wps:spPr>
                      <wps:txbx>
                        <w:txbxContent>
                          <w:p w14:paraId="5E10F7CB" w14:textId="77777777" w:rsidR="00770400" w:rsidRDefault="00770400" w:rsidP="00762921">
                            <w:r w:rsidRPr="00071A4E">
                              <w:rPr>
                                <w:noProof/>
                              </w:rPr>
                              <w:drawing>
                                <wp:inline distT="0" distB="0" distL="0" distR="0" wp14:anchorId="159A548F" wp14:editId="5CAA9DA2">
                                  <wp:extent cx="1464776" cy="800735"/>
                                  <wp:effectExtent l="0" t="0" r="0" b="0"/>
                                  <wp:docPr id="16" name="Picture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649" cy="80722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9609A5" id="_x0000_t202" coordsize="21600,21600" o:spt="202" path="m,l,21600r21600,l21600,xe">
                <v:stroke joinstyle="miter"/>
                <v:path gradientshapeok="t" o:connecttype="rect"/>
              </v:shapetype>
              <v:shape id="Text Box 9" o:spid="_x0000_s1026" type="#_x0000_t202" style="position:absolute;left:0;text-align:left;margin-left:314.4pt;margin-top:19.95pt;width:124.2pt;height:6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" fillcolor="white [3201]" strokecolor="black [3213]" strokeweight=".25pt">
                <v:textbox>
                  <w:txbxContent>
                    <w:p w14:paraId="5E10F7CB" w14:textId="77777777" w:rsidR="00770400" w:rsidRDefault="00770400" w:rsidP="00762921">
                      <w:r w:rsidRPr="00071A4E">
                        <w:rPr>
                          <w:noProof/>
                        </w:rPr>
                        <w:drawing>
                          <wp:inline distT="0" distB="0" distL="0" distR="0" wp14:anchorId="159A548F" wp14:editId="5CAA9DA2">
                            <wp:extent cx="1464776" cy="800735"/>
                            <wp:effectExtent l="0" t="0" r="0" b="0"/>
                            <wp:docPr id="16" name="Picture 3"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649" cy="807225"/>
                                    </a:xfrm>
                                    <a:prstGeom prst="rect">
                                      <a:avLst/>
                                    </a:prstGeom>
                                    <a:noFill/>
                                    <a:ln>
                                      <a:noFill/>
                                    </a:ln>
                                    <a:extLst/>
                                  </pic:spPr>
                                </pic:pic>
                              </a:graphicData>
                            </a:graphic>
                          </wp:inline>
                        </w:drawing>
                      </w:r>
                    </w:p>
                  </w:txbxContent>
                </v:textbox>
              </v:shape>
            </w:pict>
          </mc:Fallback>
        </mc:AlternateContent>
      </w:r>
      <w:r w:rsidR="00762921" w:rsidRPr="00071A4E">
        <w:rPr>
          <w:rFonts w:cs="Arial"/>
          <w:color w:val="000000"/>
          <w:sz w:val="22"/>
          <w:szCs w:val="22"/>
          <w:lang w:eastAsia="en-US"/>
        </w:rPr>
        <w:fldChar w:fldCharType="begin"/>
      </w:r>
      <w:r w:rsidR="00762921" w:rsidRPr="00071A4E">
        <w:rPr>
          <w:rFonts w:cs="Arial"/>
          <w:color w:val="000000"/>
          <w:sz w:val="22"/>
          <w:szCs w:val="22"/>
          <w:lang w:eastAsia="en-US"/>
        </w:rPr>
        <w:instrText xml:space="preserve"> INCLUDEPICTURE "https://lh4.googleusercontent.com/cIWKJQzvu8Ke-q3pEwOcu8VhuSQu0WzeM-loQZclkUtpsnDM8CuiRDCT8lR7iSKz970r1Q09P9DH9XwQihQYYPmwbsFnxaWROlUZdFqAoW0ml3dxksSYCsL-apgOewxqoxCkSDdtg2MfJREuZw" \* MERGEFORMATINET </w:instrText>
      </w:r>
      <w:r w:rsidR="00762921" w:rsidRPr="00071A4E">
        <w:rPr>
          <w:rFonts w:cs="Arial"/>
          <w:color w:val="000000"/>
          <w:sz w:val="22"/>
          <w:szCs w:val="22"/>
          <w:lang w:eastAsia="en-US"/>
        </w:rPr>
        <w:fldChar w:fldCharType="separate"/>
      </w:r>
      <w:r w:rsidR="00762921" w:rsidRPr="00071A4E">
        <w:rPr>
          <w:rFonts w:cs="Arial"/>
          <w:noProof/>
          <w:color w:val="000000"/>
          <w:sz w:val="22"/>
          <w:szCs w:val="22"/>
          <w:lang w:eastAsia="en-US"/>
        </w:rPr>
        <w:drawing>
          <wp:inline distT="0" distB="0" distL="0" distR="0" wp14:anchorId="2C5DF8A5" wp14:editId="043330AA">
            <wp:extent cx="5745708" cy="2844443"/>
            <wp:effectExtent l="0" t="0" r="7620" b="0"/>
            <wp:docPr id="14" name="Picture 14" descr="https://lh4.googleusercontent.com/cIWKJQzvu8Ke-q3pEwOcu8VhuSQu0WzeM-loQZclkUtpsnDM8CuiRDCT8lR7iSKz970r1Q09P9DH9XwQihQYYPmwbsFnxaWROlUZdFqAoW0ml3dxksSYCsL-apgOewxqoxCkSDdtg2MfJREu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IWKJQzvu8Ke-q3pEwOcu8VhuSQu0WzeM-loQZclkUtpsnDM8CuiRDCT8lR7iSKz970r1Q09P9DH9XwQihQYYPmwbsFnxaWROlUZdFqAoW0ml3dxksSYCsL-apgOewxqoxCkSDdtg2MfJREuZw"/>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b="4325"/>
                    <a:stretch/>
                  </pic:blipFill>
                  <pic:spPr bwMode="auto">
                    <a:xfrm>
                      <a:off x="0" y="0"/>
                      <a:ext cx="5764356" cy="2853675"/>
                    </a:xfrm>
                    <a:prstGeom prst="rect">
                      <a:avLst/>
                    </a:prstGeom>
                    <a:noFill/>
                    <a:ln>
                      <a:noFill/>
                    </a:ln>
                    <a:extLst>
                      <a:ext uri="{53640926-AAD7-44D8-BBD7-CCE9431645EC}">
                        <a14:shadowObscured xmlns:a14="http://schemas.microsoft.com/office/drawing/2010/main"/>
                      </a:ext>
                    </a:extLst>
                  </pic:spPr>
                </pic:pic>
              </a:graphicData>
            </a:graphic>
          </wp:inline>
        </w:drawing>
      </w:r>
      <w:r w:rsidR="00762921" w:rsidRPr="00071A4E">
        <w:rPr>
          <w:rFonts w:cs="Arial"/>
          <w:color w:val="000000"/>
          <w:sz w:val="22"/>
          <w:szCs w:val="22"/>
          <w:lang w:eastAsia="en-US"/>
        </w:rPr>
        <w:fldChar w:fldCharType="end"/>
      </w:r>
    </w:p>
    <w:p w14:paraId="54A9E3D3" w14:textId="046127CA" w:rsidR="00762921" w:rsidRPr="00071A4E" w:rsidRDefault="00762921" w:rsidP="00AD1E92">
      <w:pPr>
        <w:pStyle w:val="Caption"/>
        <w:jc w:val="center"/>
        <w:rPr>
          <w:rFonts w:ascii="Times New Roman" w:hAnsi="Times New Roman"/>
          <w:lang w:eastAsia="en-US"/>
        </w:rPr>
      </w:pPr>
      <w:bookmarkStart w:id="2" w:name="_Ref11185750"/>
      <w:r>
        <w:t xml:space="preserve">Figure </w:t>
      </w:r>
      <w:r w:rsidR="00FE4A0B">
        <w:fldChar w:fldCharType="begin"/>
      </w:r>
      <w:r w:rsidR="00FE4A0B">
        <w:instrText xml:space="preserve"> SEQ Figure \* ARABIC </w:instrText>
      </w:r>
      <w:r w:rsidR="00FE4A0B">
        <w:fldChar w:fldCharType="separate"/>
      </w:r>
      <w:r w:rsidR="001B2582">
        <w:rPr>
          <w:noProof/>
        </w:rPr>
        <w:t>4</w:t>
      </w:r>
      <w:r w:rsidR="00FE4A0B">
        <w:rPr>
          <w:noProof/>
        </w:rPr>
        <w:fldChar w:fldCharType="end"/>
      </w:r>
      <w:bookmarkEnd w:id="2"/>
      <w:r>
        <w:t>: (Left) One-way analysis of vari</w:t>
      </w:r>
      <w:r w:rsidR="00F809A3">
        <w:t>a</w:t>
      </w:r>
      <w:r>
        <w:t>nce diagram comparing grade distributions obtained for a suite of reverse circulation materials via PhotonAssay (RAW, 15mm, 3mm, 75um) and fire assay.  (Right) Visualisation of results of Student's t-test and Tukey-Kramer HST means comparison test.  The size of the circles represents the variance and their positions relate to the statistical similarity as explained in the top right panel.</w:t>
      </w:r>
    </w:p>
    <w:p w14:paraId="1BB232BD" w14:textId="77777777" w:rsidR="00E11A97" w:rsidRDefault="00E11A97" w:rsidP="00E11A97">
      <w:pPr>
        <w:pStyle w:val="BodyText"/>
        <w:jc w:val="both"/>
      </w:pPr>
      <w:r>
        <w:t>Table 1 summarises the results obtained for all 10 sites. Although excellent correlations were often observed even when PhotonAssay was used to measure very coarse material (as received, or ‘RAW’ and 15 mm crushed), in general better agreement was found when the material particle top size was reduced to at least 2-3 mm. For two of the 10 sites (A and C), pulverisation was required to achieve a strong correlation.</w:t>
      </w:r>
    </w:p>
    <w:p w14:paraId="1E512ECA" w14:textId="3E1F06E3" w:rsidR="00E11A97" w:rsidRDefault="00E11A97" w:rsidP="00E11A97">
      <w:pPr>
        <w:pStyle w:val="BodyText"/>
        <w:jc w:val="both"/>
      </w:pPr>
      <w:r>
        <w:t xml:space="preserve">Overall, the </w:t>
      </w:r>
      <w:proofErr w:type="spellStart"/>
      <w:r>
        <w:t>MinAnalytical</w:t>
      </w:r>
      <w:proofErr w:type="spellEnd"/>
      <w:r>
        <w:t xml:space="preserve"> laboratory </w:t>
      </w:r>
      <w:r w:rsidR="00AF325B">
        <w:t xml:space="preserve">team </w:t>
      </w:r>
      <w:r>
        <w:t>operating the unit concluded in an ISO/NATA validation process that PhotonAssay analysis done on 3 mm top-size mineral samples normally provides a consistent and repeatable result, with pulverising required for some ore types (discussed more below). The PhotonAssay results can also be used interchangeably with gold values determined by fire-assay, as long as the gold concentrations are at least two times the detection limit of the PhotonAssay system (&gt;0.06ppm).</w:t>
      </w:r>
    </w:p>
    <w:p w14:paraId="2F4F3DEB" w14:textId="1E402882" w:rsidR="006A70BB" w:rsidRDefault="006A70BB" w:rsidP="00AD1E92">
      <w:pPr>
        <w:pStyle w:val="Caption"/>
        <w:keepNext/>
        <w:jc w:val="center"/>
      </w:pPr>
      <w:r>
        <w:t xml:space="preserve">Table </w:t>
      </w:r>
      <w:r w:rsidR="00FE4A0B">
        <w:fldChar w:fldCharType="begin"/>
      </w:r>
      <w:r w:rsidR="00FE4A0B">
        <w:instrText xml:space="preserve"> SEQ Table \* ARABIC </w:instrText>
      </w:r>
      <w:r w:rsidR="00FE4A0B">
        <w:fldChar w:fldCharType="separate"/>
      </w:r>
      <w:r w:rsidR="00DA7D33">
        <w:rPr>
          <w:noProof/>
        </w:rPr>
        <w:t>1</w:t>
      </w:r>
      <w:r w:rsidR="00FE4A0B">
        <w:rPr>
          <w:noProof/>
        </w:rPr>
        <w:fldChar w:fldCharType="end"/>
      </w:r>
      <w:r>
        <w:t xml:space="preserve">: </w:t>
      </w:r>
      <w:r w:rsidRPr="001A413F">
        <w:t>Correlations (adjusted R</w:t>
      </w:r>
      <w:r w:rsidRPr="00E66852">
        <w:rPr>
          <w:vertAlign w:val="superscript"/>
        </w:rPr>
        <w:t>2</w:t>
      </w:r>
      <w:r w:rsidRPr="001A413F">
        <w:t xml:space="preserve"> values multiplied by 100) between fire-assay and PhotonAssay gold grade measurements for sample suites obtained from 10 Australian drill sites.</w:t>
      </w:r>
      <w:r w:rsidR="00E66852">
        <w:t xml:space="preserve">  A value of 100 </w:t>
      </w:r>
      <w:r w:rsidR="00F809A3">
        <w:t>represents</w:t>
      </w:r>
      <w:r w:rsidR="00E66852">
        <w:t xml:space="preserve"> a perfect correlation.</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980"/>
        <w:gridCol w:w="2126"/>
        <w:gridCol w:w="1009"/>
        <w:gridCol w:w="925"/>
        <w:gridCol w:w="800"/>
        <w:gridCol w:w="952"/>
      </w:tblGrid>
      <w:tr w:rsidR="006A70BB" w:rsidRPr="006A70BB" w14:paraId="0022EDED" w14:textId="77777777" w:rsidTr="00AD1E92">
        <w:trPr>
          <w:trHeight w:val="20"/>
          <w:jc w:val="center"/>
        </w:trPr>
        <w:tc>
          <w:tcPr>
            <w:tcW w:w="1980" w:type="dxa"/>
            <w:vMerge w:val="restart"/>
            <w:tcBorders>
              <w:top w:val="single" w:sz="4" w:space="0" w:color="00AEEF"/>
              <w:left w:val="single" w:sz="4" w:space="0" w:color="00AEEF"/>
              <w:bottom w:val="single" w:sz="4" w:space="0" w:color="00AEEF"/>
              <w:right w:val="single" w:sz="4" w:space="0" w:color="FFFFFF"/>
            </w:tcBorders>
            <w:shd w:val="clear" w:color="auto" w:fill="00AEEF"/>
            <w:tcMar>
              <w:top w:w="0" w:type="dxa"/>
              <w:left w:w="108" w:type="dxa"/>
              <w:bottom w:w="0" w:type="dxa"/>
              <w:right w:w="108" w:type="dxa"/>
            </w:tcMar>
            <w:vAlign w:val="center"/>
            <w:hideMark/>
          </w:tcPr>
          <w:p w14:paraId="6B19214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Drill site*</w:t>
            </w:r>
          </w:p>
        </w:tc>
        <w:tc>
          <w:tcPr>
            <w:tcW w:w="2126" w:type="dxa"/>
            <w:vMerge w:val="restart"/>
            <w:tcBorders>
              <w:top w:val="single" w:sz="4" w:space="0" w:color="00AEEF"/>
              <w:left w:val="single" w:sz="4" w:space="0" w:color="FFFFFF"/>
              <w:bottom w:val="single" w:sz="4" w:space="0" w:color="00AEEF"/>
              <w:right w:val="single" w:sz="4" w:space="0" w:color="FFFFFF"/>
            </w:tcBorders>
            <w:shd w:val="clear" w:color="auto" w:fill="00AEEF"/>
            <w:tcMar>
              <w:top w:w="0" w:type="dxa"/>
              <w:left w:w="108" w:type="dxa"/>
              <w:bottom w:w="0" w:type="dxa"/>
              <w:right w:w="108" w:type="dxa"/>
            </w:tcMar>
            <w:vAlign w:val="center"/>
            <w:hideMark/>
          </w:tcPr>
          <w:p w14:paraId="3E1ECE41"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Sample Type**</w:t>
            </w:r>
          </w:p>
        </w:tc>
        <w:tc>
          <w:tcPr>
            <w:tcW w:w="3686" w:type="dxa"/>
            <w:gridSpan w:val="4"/>
            <w:tcBorders>
              <w:top w:val="single" w:sz="4" w:space="0" w:color="00AEEF"/>
              <w:left w:val="single" w:sz="4" w:space="0" w:color="FFFFFF"/>
              <w:bottom w:val="single" w:sz="4" w:space="0" w:color="FFFFFF"/>
              <w:right w:val="single" w:sz="4" w:space="0" w:color="FFFFFF"/>
            </w:tcBorders>
            <w:shd w:val="clear" w:color="auto" w:fill="00AEEF"/>
            <w:tcMar>
              <w:top w:w="0" w:type="dxa"/>
              <w:left w:w="108" w:type="dxa"/>
              <w:bottom w:w="0" w:type="dxa"/>
              <w:right w:w="108" w:type="dxa"/>
            </w:tcMar>
            <w:vAlign w:val="center"/>
            <w:hideMark/>
          </w:tcPr>
          <w:p w14:paraId="3EDB5A45"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PhotonAssay aliquot top-size</w:t>
            </w:r>
          </w:p>
        </w:tc>
      </w:tr>
      <w:tr w:rsidR="00412FAA" w:rsidRPr="006A70BB" w14:paraId="4F7434FB" w14:textId="77777777" w:rsidTr="00AD1E92">
        <w:trPr>
          <w:trHeight w:val="20"/>
          <w:jc w:val="center"/>
        </w:trPr>
        <w:tc>
          <w:tcPr>
            <w:tcW w:w="1980" w:type="dxa"/>
            <w:vMerge/>
            <w:tcBorders>
              <w:top w:val="single" w:sz="4" w:space="0" w:color="00AEEF"/>
              <w:left w:val="single" w:sz="4" w:space="0" w:color="00AEEF"/>
              <w:bottom w:val="single" w:sz="4" w:space="0" w:color="00AEEF"/>
              <w:right w:val="single" w:sz="4" w:space="0" w:color="FFFFFF"/>
            </w:tcBorders>
            <w:vAlign w:val="center"/>
            <w:hideMark/>
          </w:tcPr>
          <w:p w14:paraId="570E3CF1" w14:textId="77777777" w:rsidR="006A70BB" w:rsidRPr="00A13B9C" w:rsidRDefault="006A70BB" w:rsidP="00A13B9C">
            <w:pPr>
              <w:spacing w:beforeLines="20" w:before="48" w:afterLines="20" w:after="48"/>
              <w:rPr>
                <w:rFonts w:cs="Arial"/>
                <w:sz w:val="20"/>
                <w:szCs w:val="20"/>
                <w:lang w:eastAsia="en-US"/>
              </w:rPr>
            </w:pPr>
          </w:p>
        </w:tc>
        <w:tc>
          <w:tcPr>
            <w:tcW w:w="2126" w:type="dxa"/>
            <w:vMerge/>
            <w:tcBorders>
              <w:top w:val="single" w:sz="4" w:space="0" w:color="00AEEF"/>
              <w:left w:val="single" w:sz="4" w:space="0" w:color="FFFFFF"/>
              <w:bottom w:val="single" w:sz="4" w:space="0" w:color="00AEEF"/>
              <w:right w:val="single" w:sz="4" w:space="0" w:color="FFFFFF"/>
            </w:tcBorders>
            <w:vAlign w:val="center"/>
            <w:hideMark/>
          </w:tcPr>
          <w:p w14:paraId="5844CAF5" w14:textId="77777777" w:rsidR="006A70BB" w:rsidRPr="00A13B9C" w:rsidRDefault="006A70BB" w:rsidP="00A13B9C">
            <w:pPr>
              <w:spacing w:beforeLines="20" w:before="48" w:afterLines="20" w:after="48"/>
              <w:rPr>
                <w:rFonts w:cs="Arial"/>
                <w:sz w:val="20"/>
                <w:szCs w:val="20"/>
                <w:lang w:eastAsia="en-US"/>
              </w:rPr>
            </w:pPr>
          </w:p>
        </w:tc>
        <w:tc>
          <w:tcPr>
            <w:tcW w:w="1009" w:type="dxa"/>
            <w:tcBorders>
              <w:top w:val="single" w:sz="4" w:space="0" w:color="FFFFFF"/>
              <w:left w:val="single" w:sz="4" w:space="0" w:color="FFFFFF"/>
              <w:bottom w:val="single" w:sz="4" w:space="0" w:color="92E1FF"/>
              <w:right w:val="single" w:sz="4" w:space="0" w:color="FFFFFF"/>
            </w:tcBorders>
            <w:shd w:val="clear" w:color="auto" w:fill="00AEEF"/>
            <w:tcMar>
              <w:top w:w="0" w:type="dxa"/>
              <w:left w:w="108" w:type="dxa"/>
              <w:bottom w:w="0" w:type="dxa"/>
              <w:right w:w="108" w:type="dxa"/>
            </w:tcMar>
            <w:vAlign w:val="center"/>
            <w:hideMark/>
          </w:tcPr>
          <w:p w14:paraId="622B0653"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RAW</w:t>
            </w:r>
          </w:p>
        </w:tc>
        <w:tc>
          <w:tcPr>
            <w:tcW w:w="925" w:type="dxa"/>
            <w:tcBorders>
              <w:top w:val="single" w:sz="4" w:space="0" w:color="FFFFFF"/>
              <w:left w:val="single" w:sz="4" w:space="0" w:color="FFFFFF"/>
              <w:bottom w:val="single" w:sz="4" w:space="0" w:color="92E1FF"/>
              <w:right w:val="single" w:sz="4" w:space="0" w:color="FFFFFF"/>
            </w:tcBorders>
            <w:shd w:val="clear" w:color="auto" w:fill="00AEEF"/>
            <w:tcMar>
              <w:top w:w="0" w:type="dxa"/>
              <w:left w:w="108" w:type="dxa"/>
              <w:bottom w:w="0" w:type="dxa"/>
              <w:right w:w="108" w:type="dxa"/>
            </w:tcMar>
            <w:vAlign w:val="center"/>
            <w:hideMark/>
          </w:tcPr>
          <w:p w14:paraId="279E7885"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15 mm</w:t>
            </w:r>
          </w:p>
        </w:tc>
        <w:tc>
          <w:tcPr>
            <w:tcW w:w="800" w:type="dxa"/>
            <w:tcBorders>
              <w:top w:val="single" w:sz="4" w:space="0" w:color="FFFFFF"/>
              <w:left w:val="single" w:sz="4" w:space="0" w:color="FFFFFF"/>
              <w:bottom w:val="single" w:sz="4" w:space="0" w:color="92E1FF"/>
              <w:right w:val="single" w:sz="4" w:space="0" w:color="FFFFFF"/>
            </w:tcBorders>
            <w:shd w:val="clear" w:color="auto" w:fill="00AEEF"/>
            <w:tcMar>
              <w:top w:w="0" w:type="dxa"/>
              <w:left w:w="108" w:type="dxa"/>
              <w:bottom w:w="0" w:type="dxa"/>
              <w:right w:w="108" w:type="dxa"/>
            </w:tcMar>
            <w:vAlign w:val="center"/>
            <w:hideMark/>
          </w:tcPr>
          <w:p w14:paraId="05823C0B"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3 mm</w:t>
            </w:r>
          </w:p>
        </w:tc>
        <w:tc>
          <w:tcPr>
            <w:tcW w:w="952" w:type="dxa"/>
            <w:tcBorders>
              <w:top w:val="single" w:sz="4" w:space="0" w:color="FFFFFF"/>
              <w:left w:val="single" w:sz="4" w:space="0" w:color="FFFFFF"/>
              <w:bottom w:val="single" w:sz="4" w:space="0" w:color="92E1FF"/>
              <w:right w:val="single" w:sz="4" w:space="0" w:color="92E1FF"/>
            </w:tcBorders>
            <w:shd w:val="clear" w:color="auto" w:fill="00AEEF"/>
            <w:tcMar>
              <w:top w:w="0" w:type="dxa"/>
              <w:left w:w="108" w:type="dxa"/>
              <w:bottom w:w="0" w:type="dxa"/>
              <w:right w:w="108" w:type="dxa"/>
            </w:tcMar>
            <w:vAlign w:val="center"/>
            <w:hideMark/>
          </w:tcPr>
          <w:p w14:paraId="70462E8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FFFFFF"/>
                <w:sz w:val="20"/>
                <w:szCs w:val="20"/>
                <w:lang w:eastAsia="en-US"/>
              </w:rPr>
              <w:t xml:space="preserve">75 </w:t>
            </w:r>
            <w:proofErr w:type="spellStart"/>
            <w:r w:rsidRPr="00A13B9C">
              <w:rPr>
                <w:rFonts w:cs="Arial"/>
                <w:b/>
                <w:bCs/>
                <w:color w:val="FFFFFF"/>
                <w:sz w:val="20"/>
                <w:szCs w:val="20"/>
                <w:lang w:eastAsia="en-US"/>
              </w:rPr>
              <w:t>μm</w:t>
            </w:r>
            <w:proofErr w:type="spellEnd"/>
          </w:p>
        </w:tc>
      </w:tr>
      <w:tr w:rsidR="00412FAA" w:rsidRPr="006A70BB" w14:paraId="6A211B6A"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38215AB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A</w:t>
            </w:r>
          </w:p>
        </w:tc>
        <w:tc>
          <w:tcPr>
            <w:tcW w:w="2126"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72A2475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RC</w:t>
            </w:r>
          </w:p>
        </w:tc>
        <w:tc>
          <w:tcPr>
            <w:tcW w:w="1009"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698CB05"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79.4</w:t>
            </w:r>
          </w:p>
        </w:tc>
        <w:tc>
          <w:tcPr>
            <w:tcW w:w="925"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3EB171FB"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81</w:t>
            </w:r>
          </w:p>
        </w:tc>
        <w:tc>
          <w:tcPr>
            <w:tcW w:w="800" w:type="dxa"/>
            <w:tcBorders>
              <w:top w:val="single" w:sz="4" w:space="0" w:color="92E1FF"/>
              <w:left w:val="single" w:sz="4" w:space="0" w:color="92E1FF"/>
              <w:bottom w:val="single" w:sz="4" w:space="0" w:color="92E1FF"/>
              <w:right w:val="single" w:sz="4" w:space="0" w:color="5CD2FF"/>
            </w:tcBorders>
            <w:tcMar>
              <w:top w:w="0" w:type="dxa"/>
              <w:left w:w="108" w:type="dxa"/>
              <w:bottom w:w="0" w:type="dxa"/>
              <w:right w:w="108" w:type="dxa"/>
            </w:tcMar>
            <w:vAlign w:val="center"/>
            <w:hideMark/>
          </w:tcPr>
          <w:p w14:paraId="386E8AF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97.8</w:t>
            </w:r>
          </w:p>
        </w:tc>
        <w:tc>
          <w:tcPr>
            <w:tcW w:w="952" w:type="dxa"/>
            <w:tcBorders>
              <w:top w:val="single" w:sz="4" w:space="0" w:color="92E1FF"/>
              <w:left w:val="single" w:sz="4" w:space="0" w:color="5CD2FF"/>
              <w:bottom w:val="single" w:sz="4" w:space="0" w:color="92E1FF"/>
              <w:right w:val="single" w:sz="4" w:space="0" w:color="92E1FF"/>
            </w:tcBorders>
            <w:tcMar>
              <w:top w:w="0" w:type="dxa"/>
              <w:left w:w="108" w:type="dxa"/>
              <w:bottom w:w="0" w:type="dxa"/>
              <w:right w:w="108" w:type="dxa"/>
            </w:tcMar>
            <w:vAlign w:val="center"/>
            <w:hideMark/>
          </w:tcPr>
          <w:p w14:paraId="03D6FFD4"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96.7</w:t>
            </w:r>
          </w:p>
        </w:tc>
      </w:tr>
      <w:tr w:rsidR="00412FAA" w:rsidRPr="006A70BB" w14:paraId="6813A3D1"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325A294"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B</w:t>
            </w:r>
          </w:p>
        </w:tc>
        <w:tc>
          <w:tcPr>
            <w:tcW w:w="2126"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25DABEEA"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RC</w:t>
            </w:r>
          </w:p>
        </w:tc>
        <w:tc>
          <w:tcPr>
            <w:tcW w:w="1009"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53DAE4DC"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0F8A9B33"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80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5370ADB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52"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24C65766"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99.1</w:t>
            </w:r>
          </w:p>
        </w:tc>
      </w:tr>
      <w:tr w:rsidR="00412FAA" w:rsidRPr="006A70BB" w14:paraId="11595AF5"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48078D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C</w:t>
            </w:r>
          </w:p>
        </w:tc>
        <w:tc>
          <w:tcPr>
            <w:tcW w:w="2126"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FA9C4B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DC</w:t>
            </w:r>
          </w:p>
        </w:tc>
        <w:tc>
          <w:tcPr>
            <w:tcW w:w="1009"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0EECD283"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2E54B53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13.1</w:t>
            </w:r>
          </w:p>
        </w:tc>
        <w:tc>
          <w:tcPr>
            <w:tcW w:w="80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02B9FA92"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85.1</w:t>
            </w:r>
          </w:p>
        </w:tc>
        <w:tc>
          <w:tcPr>
            <w:tcW w:w="952"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33CE6DDC"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98.9</w:t>
            </w:r>
          </w:p>
        </w:tc>
      </w:tr>
      <w:tr w:rsidR="00412FAA" w:rsidRPr="006A70BB" w14:paraId="36AF051F"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2C031EC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D</w:t>
            </w:r>
          </w:p>
        </w:tc>
        <w:tc>
          <w:tcPr>
            <w:tcW w:w="2126"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0EC1885A"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Umpire</w:t>
            </w:r>
          </w:p>
        </w:tc>
        <w:tc>
          <w:tcPr>
            <w:tcW w:w="1009"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31988B0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441B984A"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80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71AE208D"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88.3</w:t>
            </w:r>
          </w:p>
        </w:tc>
        <w:tc>
          <w:tcPr>
            <w:tcW w:w="952"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4023C0FA"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98.3</w:t>
            </w:r>
          </w:p>
        </w:tc>
      </w:tr>
      <w:tr w:rsidR="00412FAA" w:rsidRPr="006A70BB" w14:paraId="2126635A"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736448FB"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E</w:t>
            </w:r>
          </w:p>
        </w:tc>
        <w:tc>
          <w:tcPr>
            <w:tcW w:w="2126"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6950B367"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DC</w:t>
            </w:r>
          </w:p>
        </w:tc>
        <w:tc>
          <w:tcPr>
            <w:tcW w:w="1009"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7FF57C0"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79D638B6"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98.2</w:t>
            </w:r>
          </w:p>
        </w:tc>
        <w:tc>
          <w:tcPr>
            <w:tcW w:w="80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2A4AA7C3"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99.1</w:t>
            </w:r>
          </w:p>
        </w:tc>
        <w:tc>
          <w:tcPr>
            <w:tcW w:w="952"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0D12B13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99.8</w:t>
            </w:r>
          </w:p>
        </w:tc>
      </w:tr>
      <w:tr w:rsidR="00412FAA" w:rsidRPr="006A70BB" w14:paraId="2E1FDC6A"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58BE46A4"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F</w:t>
            </w:r>
          </w:p>
        </w:tc>
        <w:tc>
          <w:tcPr>
            <w:tcW w:w="2126"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6A8DE58"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RC</w:t>
            </w:r>
          </w:p>
        </w:tc>
        <w:tc>
          <w:tcPr>
            <w:tcW w:w="1009"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6766847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97.8</w:t>
            </w:r>
          </w:p>
        </w:tc>
        <w:tc>
          <w:tcPr>
            <w:tcW w:w="925"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62F5F49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98.6</w:t>
            </w:r>
          </w:p>
        </w:tc>
        <w:tc>
          <w:tcPr>
            <w:tcW w:w="80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0B6549A" w14:textId="7233D56E"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w:t>
            </w:r>
            <w:r w:rsidR="00E340E4" w:rsidRPr="00A13B9C">
              <w:rPr>
                <w:rFonts w:cs="Arial"/>
                <w:color w:val="000000"/>
                <w:sz w:val="20"/>
                <w:szCs w:val="20"/>
                <w:lang w:eastAsia="en-US"/>
              </w:rPr>
              <w:t>.0</w:t>
            </w:r>
          </w:p>
        </w:tc>
        <w:tc>
          <w:tcPr>
            <w:tcW w:w="952"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3DD84D72"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99.2</w:t>
            </w:r>
          </w:p>
        </w:tc>
      </w:tr>
      <w:tr w:rsidR="00412FAA" w:rsidRPr="006A70BB" w14:paraId="310D8FE4"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1757ABB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G</w:t>
            </w:r>
          </w:p>
        </w:tc>
        <w:tc>
          <w:tcPr>
            <w:tcW w:w="2126"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19638A30"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RC</w:t>
            </w:r>
          </w:p>
        </w:tc>
        <w:tc>
          <w:tcPr>
            <w:tcW w:w="1009"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1AB90CD6"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99.9</w:t>
            </w:r>
          </w:p>
        </w:tc>
        <w:tc>
          <w:tcPr>
            <w:tcW w:w="925"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482E2676"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99.2</w:t>
            </w:r>
          </w:p>
        </w:tc>
        <w:tc>
          <w:tcPr>
            <w:tcW w:w="80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2D8669F7"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99.7</w:t>
            </w:r>
          </w:p>
        </w:tc>
        <w:tc>
          <w:tcPr>
            <w:tcW w:w="952"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189BEE31"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99.9</w:t>
            </w:r>
          </w:p>
        </w:tc>
      </w:tr>
      <w:tr w:rsidR="00412FAA" w:rsidRPr="006A70BB" w14:paraId="3A61693C"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7055D93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H</w:t>
            </w:r>
          </w:p>
        </w:tc>
        <w:tc>
          <w:tcPr>
            <w:tcW w:w="2126"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287C214D"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DC</w:t>
            </w:r>
          </w:p>
        </w:tc>
        <w:tc>
          <w:tcPr>
            <w:tcW w:w="1009"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3D165187"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C42779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95.4</w:t>
            </w:r>
          </w:p>
        </w:tc>
        <w:tc>
          <w:tcPr>
            <w:tcW w:w="80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3CF3BE7E"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98.6</w:t>
            </w:r>
          </w:p>
        </w:tc>
        <w:tc>
          <w:tcPr>
            <w:tcW w:w="952"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6DDFB64C"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r>
      <w:tr w:rsidR="00412FAA" w:rsidRPr="006A70BB" w14:paraId="41FE34D8"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460F04BA"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I</w:t>
            </w:r>
          </w:p>
        </w:tc>
        <w:tc>
          <w:tcPr>
            <w:tcW w:w="2126"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49353CEB"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DC</w:t>
            </w:r>
          </w:p>
        </w:tc>
        <w:tc>
          <w:tcPr>
            <w:tcW w:w="1009"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1A6EEC0C"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2C6258A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800"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3F1009F"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97.1</w:t>
            </w:r>
          </w:p>
        </w:tc>
        <w:tc>
          <w:tcPr>
            <w:tcW w:w="952" w:type="dxa"/>
            <w:tcBorders>
              <w:top w:val="single" w:sz="4" w:space="0" w:color="92E1FF"/>
              <w:left w:val="single" w:sz="4" w:space="0" w:color="92E1FF"/>
              <w:bottom w:val="single" w:sz="4" w:space="0" w:color="92E1FF"/>
              <w:right w:val="single" w:sz="4" w:space="0" w:color="92E1FF"/>
            </w:tcBorders>
            <w:tcMar>
              <w:top w:w="0" w:type="dxa"/>
              <w:left w:w="108" w:type="dxa"/>
              <w:bottom w:w="0" w:type="dxa"/>
              <w:right w:w="108" w:type="dxa"/>
            </w:tcMar>
            <w:vAlign w:val="center"/>
            <w:hideMark/>
          </w:tcPr>
          <w:p w14:paraId="5FB1C5CD"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99.8</w:t>
            </w:r>
          </w:p>
        </w:tc>
      </w:tr>
      <w:tr w:rsidR="00412FAA" w:rsidRPr="006A70BB" w14:paraId="4B9B7361" w14:textId="77777777" w:rsidTr="00AD1E92">
        <w:trPr>
          <w:trHeight w:val="20"/>
          <w:jc w:val="center"/>
        </w:trPr>
        <w:tc>
          <w:tcPr>
            <w:tcW w:w="198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503E277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b/>
                <w:bCs/>
                <w:color w:val="000000"/>
                <w:sz w:val="20"/>
                <w:szCs w:val="20"/>
                <w:lang w:eastAsia="en-US"/>
              </w:rPr>
              <w:t>J</w:t>
            </w:r>
          </w:p>
        </w:tc>
        <w:tc>
          <w:tcPr>
            <w:tcW w:w="2126"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7B7D2119"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Umpire</w:t>
            </w:r>
          </w:p>
        </w:tc>
        <w:tc>
          <w:tcPr>
            <w:tcW w:w="1009"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0A6BBB9D"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925"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62092F81"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c>
          <w:tcPr>
            <w:tcW w:w="800"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5704DEB"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82.4</w:t>
            </w:r>
          </w:p>
        </w:tc>
        <w:tc>
          <w:tcPr>
            <w:tcW w:w="952" w:type="dxa"/>
            <w:tcBorders>
              <w:top w:val="single" w:sz="4" w:space="0" w:color="92E1FF"/>
              <w:left w:val="single" w:sz="4" w:space="0" w:color="92E1FF"/>
              <w:bottom w:val="single" w:sz="4" w:space="0" w:color="92E1FF"/>
              <w:right w:val="single" w:sz="4" w:space="0" w:color="92E1FF"/>
            </w:tcBorders>
            <w:shd w:val="clear" w:color="auto" w:fill="C8F0FE"/>
            <w:tcMar>
              <w:top w:w="0" w:type="dxa"/>
              <w:left w:w="108" w:type="dxa"/>
              <w:bottom w:w="0" w:type="dxa"/>
              <w:right w:w="108" w:type="dxa"/>
            </w:tcMar>
            <w:vAlign w:val="center"/>
            <w:hideMark/>
          </w:tcPr>
          <w:p w14:paraId="1069F2FC" w14:textId="77777777" w:rsidR="006A70BB" w:rsidRPr="00A13B9C" w:rsidRDefault="006A70BB" w:rsidP="00A13B9C">
            <w:pPr>
              <w:spacing w:beforeLines="20" w:before="48" w:afterLines="20" w:after="48"/>
              <w:jc w:val="center"/>
              <w:rPr>
                <w:rFonts w:cs="Arial"/>
                <w:sz w:val="20"/>
                <w:szCs w:val="20"/>
                <w:lang w:eastAsia="en-US"/>
              </w:rPr>
            </w:pPr>
            <w:r w:rsidRPr="00A13B9C">
              <w:rPr>
                <w:rFonts w:cs="Arial"/>
                <w:color w:val="000000"/>
                <w:sz w:val="20"/>
                <w:szCs w:val="20"/>
                <w:lang w:eastAsia="en-US"/>
              </w:rPr>
              <w:t>NR</w:t>
            </w:r>
          </w:p>
        </w:tc>
      </w:tr>
    </w:tbl>
    <w:p w14:paraId="6B4444FD" w14:textId="77777777" w:rsidR="00AD1E92" w:rsidRPr="00AD1E92" w:rsidRDefault="00C674F0" w:rsidP="00A13B9C">
      <w:pPr>
        <w:pStyle w:val="BodyText"/>
        <w:spacing w:before="120" w:after="0"/>
        <w:rPr>
          <w:sz w:val="15"/>
        </w:rPr>
      </w:pPr>
      <w:r>
        <w:t xml:space="preserve">  </w:t>
      </w:r>
      <w:r w:rsidR="000137B1">
        <w:tab/>
      </w:r>
      <w:r w:rsidR="000137B1">
        <w:tab/>
      </w:r>
      <w:r w:rsidR="000137B1" w:rsidRPr="00AD1E92">
        <w:rPr>
          <w:sz w:val="15"/>
        </w:rPr>
        <w:t>* Drill site codes are randomised throughout this report to maintain client anonymity.</w:t>
      </w:r>
    </w:p>
    <w:p w14:paraId="7121B00E" w14:textId="0653A91E" w:rsidR="00AD1E92" w:rsidRDefault="000137B1" w:rsidP="00AD1E92">
      <w:pPr>
        <w:pStyle w:val="BodyText"/>
        <w:spacing w:after="0"/>
        <w:ind w:left="720" w:firstLine="720"/>
      </w:pPr>
      <w:r w:rsidRPr="00AD1E92">
        <w:rPr>
          <w:sz w:val="15"/>
        </w:rPr>
        <w:t>**RC = Reverse Circulation drilling; DC = Drill Core; Umpire = 2-3mm rejects from another laboratory</w:t>
      </w:r>
      <w:r w:rsidRPr="000137B1">
        <w:t>.</w:t>
      </w:r>
    </w:p>
    <w:p w14:paraId="528B8DA2" w14:textId="1144DE74" w:rsidR="001D3AC3" w:rsidRPr="001D3AC3" w:rsidRDefault="001D3AC3" w:rsidP="00AD1E92">
      <w:pPr>
        <w:pStyle w:val="BodyText"/>
        <w:spacing w:after="0"/>
        <w:ind w:left="720" w:firstLine="720"/>
        <w:rPr>
          <w:sz w:val="15"/>
        </w:rPr>
      </w:pPr>
      <w:r w:rsidRPr="001D3AC3">
        <w:rPr>
          <w:sz w:val="15"/>
        </w:rPr>
        <w:t>NR = No result was generated.</w:t>
      </w:r>
    </w:p>
    <w:p w14:paraId="7A404254" w14:textId="1A4C0327" w:rsidR="008238DA" w:rsidRDefault="008238DA" w:rsidP="008238DA">
      <w:pPr>
        <w:pStyle w:val="Heading1"/>
      </w:pPr>
      <w:r>
        <w:lastRenderedPageBreak/>
        <w:t>Real world Application</w:t>
      </w:r>
      <w:r w:rsidR="00762921">
        <w:t>S</w:t>
      </w:r>
    </w:p>
    <w:p w14:paraId="78D09C5E" w14:textId="7291276D" w:rsidR="00CF3762" w:rsidRDefault="00CF3762" w:rsidP="00CF3762">
      <w:pPr>
        <w:pStyle w:val="BodyText"/>
        <w:jc w:val="both"/>
      </w:pPr>
      <w:r>
        <w:t xml:space="preserve">There are many types of gold ore </w:t>
      </w:r>
      <w:r w:rsidR="00762921">
        <w:t>deposits w</w:t>
      </w:r>
      <w:r>
        <w:t xml:space="preserve">ith </w:t>
      </w:r>
      <w:r w:rsidR="00762921">
        <w:t xml:space="preserve">particular </w:t>
      </w:r>
      <w:r>
        <w:t>characteristics that must be considered when deciding on an analysis strategy. In particular</w:t>
      </w:r>
      <w:r w:rsidR="00223EDD">
        <w:t>,</w:t>
      </w:r>
      <w:r>
        <w:t xml:space="preserve"> knowledge of</w:t>
      </w:r>
      <w:r w:rsidR="00762921">
        <w:t xml:space="preserve"> whether gold is</w:t>
      </w:r>
      <w:r>
        <w:t xml:space="preserve"> finely or coarsely</w:t>
      </w:r>
      <w:r w:rsidR="00762921">
        <w:t xml:space="preserve"> distributed is essential for determining</w:t>
      </w:r>
      <w:r>
        <w:t xml:space="preserve"> what might be considered a representative sample </w:t>
      </w:r>
      <w:r w:rsidR="00762921">
        <w:t>size</w:t>
      </w:r>
      <w:r>
        <w:t>. We worked with mining compan</w:t>
      </w:r>
      <w:r w:rsidR="00F809A3">
        <w:t>ies</w:t>
      </w:r>
      <w:r>
        <w:t xml:space="preserve"> that had deposits with </w:t>
      </w:r>
      <w:r w:rsidR="00762921">
        <w:t xml:space="preserve">both </w:t>
      </w:r>
      <w:r>
        <w:t>coarse and fine</w:t>
      </w:r>
      <w:r w:rsidR="00223EDD">
        <w:t xml:space="preserve"> dissemination of gold</w:t>
      </w:r>
      <w:r>
        <w:t xml:space="preserve">. Coarse dissemination is often </w:t>
      </w:r>
      <w:r w:rsidR="00F809A3">
        <w:t>diagnosed when</w:t>
      </w:r>
      <w:r>
        <w:t xml:space="preserve"> more variability in repeat</w:t>
      </w:r>
      <w:r w:rsidR="00762921">
        <w:t xml:space="preserve"> measurements performed</w:t>
      </w:r>
      <w:r>
        <w:t xml:space="preserve"> on different aliquots</w:t>
      </w:r>
      <w:r w:rsidR="00F809A3">
        <w:t xml:space="preserve"> is observed</w:t>
      </w:r>
      <w:r w:rsidR="00762921">
        <w:t>,</w:t>
      </w:r>
      <w:r>
        <w:t xml:space="preserve"> where</w:t>
      </w:r>
      <w:r w:rsidR="00762921">
        <w:t>as</w:t>
      </w:r>
      <w:r>
        <w:t xml:space="preserve"> fine dissemination is</w:t>
      </w:r>
      <w:r w:rsidR="00762921">
        <w:t xml:space="preserve"> typically associated </w:t>
      </w:r>
      <w:r>
        <w:t xml:space="preserve">with </w:t>
      </w:r>
      <w:r w:rsidR="009F64E5">
        <w:t xml:space="preserve">repeatable gold values less than </w:t>
      </w:r>
      <w:r w:rsidR="00F809A3">
        <w:t>10</w:t>
      </w:r>
      <w:r w:rsidR="005C31DE">
        <w:t xml:space="preserve"> percent</w:t>
      </w:r>
      <w:r>
        <w:t xml:space="preserve"> through most gold grades. The </w:t>
      </w:r>
      <w:r w:rsidR="00762921">
        <w:t xml:space="preserve">following </w:t>
      </w:r>
      <w:r>
        <w:t xml:space="preserve">sections </w:t>
      </w:r>
      <w:r w:rsidR="00762921">
        <w:t xml:space="preserve">illustrate </w:t>
      </w:r>
      <w:r w:rsidR="00F809A3">
        <w:t xml:space="preserve">two </w:t>
      </w:r>
      <w:r>
        <w:t xml:space="preserve">case studies of </w:t>
      </w:r>
      <w:r w:rsidR="00762921">
        <w:t xml:space="preserve">the </w:t>
      </w:r>
      <w:r>
        <w:t>PhotonAssay instrument</w:t>
      </w:r>
      <w:r w:rsidR="00762921">
        <w:t>’s</w:t>
      </w:r>
      <w:r>
        <w:t xml:space="preserve"> </w:t>
      </w:r>
      <w:r w:rsidR="002A4698">
        <w:t>perfor</w:t>
      </w:r>
      <w:r w:rsidR="00762921">
        <w:t>mance</w:t>
      </w:r>
      <w:r w:rsidR="002A4698">
        <w:t xml:space="preserve"> when gold dissemination is considered</w:t>
      </w:r>
      <w:r w:rsidR="00762921">
        <w:t>,</w:t>
      </w:r>
      <w:r w:rsidR="002A4698">
        <w:t xml:space="preserve"> and the benefits of going to </w:t>
      </w:r>
      <w:r w:rsidR="00762921">
        <w:t xml:space="preserve">a </w:t>
      </w:r>
      <w:r w:rsidR="002A4698">
        <w:t xml:space="preserve">larger </w:t>
      </w:r>
      <w:r w:rsidR="00762921">
        <w:t xml:space="preserve">assay </w:t>
      </w:r>
      <w:r w:rsidR="002A4698">
        <w:t>sample size.</w:t>
      </w:r>
      <w:r w:rsidR="006A432D">
        <w:t xml:space="preserve">  </w:t>
      </w:r>
    </w:p>
    <w:p w14:paraId="1C489417" w14:textId="14B5A783" w:rsidR="008238DA" w:rsidRDefault="008238DA" w:rsidP="008238DA">
      <w:pPr>
        <w:pStyle w:val="Heading2"/>
      </w:pPr>
      <w:r>
        <w:t xml:space="preserve">Analysis of </w:t>
      </w:r>
      <w:r w:rsidR="00E7096B">
        <w:t>a Finely</w:t>
      </w:r>
      <w:r w:rsidR="00E11A97">
        <w:t xml:space="preserve"> </w:t>
      </w:r>
      <w:r w:rsidR="00E7096B">
        <w:t>Disseminated</w:t>
      </w:r>
      <w:r>
        <w:t xml:space="preserve"> Deposit</w:t>
      </w:r>
    </w:p>
    <w:p w14:paraId="0998C6DC" w14:textId="17E81B91" w:rsidR="00223EDD" w:rsidRDefault="00223EDD" w:rsidP="00EC07FC">
      <w:pPr>
        <w:pStyle w:val="BodyText"/>
        <w:jc w:val="both"/>
      </w:pPr>
      <w:r>
        <w:t xml:space="preserve">Finely disseminated </w:t>
      </w:r>
      <w:r w:rsidR="00CC780B">
        <w:t>ore bodies</w:t>
      </w:r>
      <w:r>
        <w:t xml:space="preserve"> tend to include micrometre</w:t>
      </w:r>
      <w:r w:rsidR="00CC780B">
        <w:t>-</w:t>
      </w:r>
      <w:r>
        <w:t>size</w:t>
      </w:r>
      <w:r w:rsidR="00CC780B">
        <w:t>d</w:t>
      </w:r>
      <w:r>
        <w:t xml:space="preserve"> gold particles distributed within the ore material.  This means that a 3</w:t>
      </w:r>
      <w:r w:rsidR="00CC780B">
        <w:t>-</w:t>
      </w:r>
      <w:r>
        <w:t>6</w:t>
      </w:r>
      <w:r w:rsidR="00CC780B">
        <w:t xml:space="preserve"> </w:t>
      </w:r>
      <w:r>
        <w:t>kg sample submitted to a lab</w:t>
      </w:r>
      <w:r w:rsidR="00CC780B">
        <w:t>oratory</w:t>
      </w:r>
      <w:r>
        <w:t xml:space="preserve"> from a drill site can be easily homogenised during the crushing and pulverisation stages, resulting in </w:t>
      </w:r>
      <w:r w:rsidR="00CC780B">
        <w:t xml:space="preserve">highly </w:t>
      </w:r>
      <w:r>
        <w:t>repeatable analys</w:t>
      </w:r>
      <w:r w:rsidR="00CC780B">
        <w:t>e</w:t>
      </w:r>
      <w:r>
        <w:t xml:space="preserve">s.  </w:t>
      </w:r>
    </w:p>
    <w:p w14:paraId="537A21CA" w14:textId="328FF514" w:rsidR="00223EDD" w:rsidRDefault="00223EDD" w:rsidP="00EC07FC">
      <w:pPr>
        <w:pStyle w:val="BodyText"/>
        <w:jc w:val="both"/>
      </w:pPr>
      <w:r>
        <w:t>When analysis is done by fir</w:t>
      </w:r>
      <w:r w:rsidR="00CC780B">
        <w:t>e-</w:t>
      </w:r>
      <w:r>
        <w:t xml:space="preserve">assay, </w:t>
      </w:r>
      <w:r w:rsidR="00CC780B">
        <w:t>repeat</w:t>
      </w:r>
      <w:r>
        <w:t xml:space="preserve"> 50</w:t>
      </w:r>
      <w:r w:rsidR="00CC780B">
        <w:t xml:space="preserve"> </w:t>
      </w:r>
      <w:r>
        <w:t xml:space="preserve">g aliquots </w:t>
      </w:r>
      <w:r w:rsidR="00CC780B">
        <w:t>w</w:t>
      </w:r>
      <w:r>
        <w:t xml:space="preserve">ill typically </w:t>
      </w:r>
      <w:r w:rsidR="00CC780B">
        <w:t>exhibit measured grade variations of less than</w:t>
      </w:r>
      <w:r>
        <w:t xml:space="preserve"> 10</w:t>
      </w:r>
      <w:r w:rsidR="005C31DE">
        <w:t xml:space="preserve"> percent</w:t>
      </w:r>
      <w:r>
        <w:t xml:space="preserve"> </w:t>
      </w:r>
      <w:r w:rsidR="00CC780B">
        <w:t xml:space="preserve">over a </w:t>
      </w:r>
      <w:r>
        <w:t>gold grade</w:t>
      </w:r>
      <w:r w:rsidR="00CC780B">
        <w:t xml:space="preserve"> range </w:t>
      </w:r>
      <w:r>
        <w:t>from 0.01</w:t>
      </w:r>
      <w:r w:rsidR="00CC780B">
        <w:t xml:space="preserve"> </w:t>
      </w:r>
      <w:r>
        <w:t>ppm to over 10</w:t>
      </w:r>
      <w:r w:rsidR="00CC780B">
        <w:t xml:space="preserve"> </w:t>
      </w:r>
      <w:r>
        <w:t xml:space="preserve">ppm.  </w:t>
      </w:r>
      <w:r w:rsidR="00AF325B">
        <w:t>Higher</w:t>
      </w:r>
      <w:r>
        <w:t xml:space="preserve"> gold concentrations typically suggest macro</w:t>
      </w:r>
      <w:r w:rsidR="009B0F42">
        <w:t>-</w:t>
      </w:r>
      <w:r>
        <w:t>size</w:t>
      </w:r>
      <w:r w:rsidR="009B0F42">
        <w:t>d</w:t>
      </w:r>
      <w:r>
        <w:t xml:space="preserve"> gold particles distributed within the ore</w:t>
      </w:r>
      <w:r w:rsidR="00CC780B">
        <w:t>,</w:t>
      </w:r>
      <w:r>
        <w:t xml:space="preserve"> so repeatability can become poor</w:t>
      </w:r>
      <w:r w:rsidR="00CC780B">
        <w:t>er</w:t>
      </w:r>
      <w:r>
        <w:t xml:space="preserve">.  </w:t>
      </w:r>
      <w:r w:rsidR="00EC07FC">
        <w:t xml:space="preserve">As gold is malleable at room temperature, attempts to homogenise the sample with pulverisation results in the gold </w:t>
      </w:r>
      <w:r w:rsidR="00CC780B">
        <w:t>particle</w:t>
      </w:r>
      <w:r w:rsidR="001D3AC3">
        <w:t>s</w:t>
      </w:r>
      <w:r w:rsidR="00CC780B">
        <w:t xml:space="preserve"> </w:t>
      </w:r>
      <w:r w:rsidR="00EC07FC">
        <w:t xml:space="preserve">smearing </w:t>
      </w:r>
      <w:r w:rsidR="00CC780B">
        <w:t>rather than reducing in size, making it more difficult to improve uniformity.</w:t>
      </w:r>
    </w:p>
    <w:p w14:paraId="6683CE1A" w14:textId="5BA9F518" w:rsidR="00EC07FC" w:rsidRDefault="00EC07FC" w:rsidP="00E11A97">
      <w:pPr>
        <w:pStyle w:val="BodyText"/>
        <w:jc w:val="both"/>
      </w:pPr>
      <w:r>
        <w:t xml:space="preserve">Figure </w:t>
      </w:r>
      <w:r w:rsidR="009B0F42">
        <w:t>5</w:t>
      </w:r>
      <w:r>
        <w:t xml:space="preserve"> </w:t>
      </w:r>
      <w:r w:rsidR="00CC780B">
        <w:t xml:space="preserve">compares </w:t>
      </w:r>
      <w:r>
        <w:t>PhotonAssay and fire</w:t>
      </w:r>
      <w:r w:rsidR="00CC780B">
        <w:t>-</w:t>
      </w:r>
      <w:r>
        <w:t xml:space="preserve">assay </w:t>
      </w:r>
      <w:r w:rsidR="00CC780B">
        <w:t>analyses on different aliquots drawn from samples taken from a finely</w:t>
      </w:r>
      <w:r w:rsidR="00E11A97">
        <w:t xml:space="preserve"> </w:t>
      </w:r>
      <w:r w:rsidR="00CC780B">
        <w:t>disseminated deposit. T</w:t>
      </w:r>
      <w:r>
        <w:t xml:space="preserve">he results </w:t>
      </w:r>
      <w:r w:rsidR="00CC780B">
        <w:t>show strong</w:t>
      </w:r>
      <w:r>
        <w:t xml:space="preserve"> linear correlation</w:t>
      </w:r>
      <w:r w:rsidR="00CC780B">
        <w:t>,</w:t>
      </w:r>
      <w:r>
        <w:t xml:space="preserve"> with a</w:t>
      </w:r>
      <w:r w:rsidR="00CC780B">
        <w:t>n R</w:t>
      </w:r>
      <w:r w:rsidR="00CC780B">
        <w:rPr>
          <w:vertAlign w:val="superscript"/>
        </w:rPr>
        <w:t>2</w:t>
      </w:r>
      <w:r>
        <w:t xml:space="preserve"> coefficient greater than 0.99.  When samples </w:t>
      </w:r>
      <w:r w:rsidR="00CC780B">
        <w:t>from</w:t>
      </w:r>
      <w:r>
        <w:t xml:space="preserve"> multiple drill sites with similarly micro</w:t>
      </w:r>
      <w:r w:rsidR="00CC780B">
        <w:t>n</w:t>
      </w:r>
      <w:r>
        <w:t>-sized gold particles</w:t>
      </w:r>
      <w:r w:rsidR="00CC780B">
        <w:t xml:space="preserve"> were analysed</w:t>
      </w:r>
      <w:r>
        <w:t xml:space="preserve">, </w:t>
      </w:r>
      <w:r w:rsidR="00CC780B">
        <w:t>R</w:t>
      </w:r>
      <w:r w:rsidR="00CC780B">
        <w:rPr>
          <w:vertAlign w:val="superscript"/>
        </w:rPr>
        <w:t>2</w:t>
      </w:r>
      <w:r w:rsidR="00CC780B">
        <w:t xml:space="preserve"> values</w:t>
      </w:r>
      <w:r>
        <w:t xml:space="preserve"> ranged from 0.984 to 0.996.  </w:t>
      </w:r>
    </w:p>
    <w:p w14:paraId="23B4BFBF" w14:textId="5B6AFDAF" w:rsidR="00EC07FC" w:rsidRDefault="00223EDD" w:rsidP="00EC07FC">
      <w:pPr>
        <w:keepNext/>
      </w:pPr>
      <w:r w:rsidRPr="00223EDD">
        <w:rPr>
          <w:rFonts w:cs="Arial"/>
          <w:color w:val="000000"/>
          <w:sz w:val="22"/>
          <w:szCs w:val="22"/>
        </w:rPr>
        <w:t xml:space="preserve"> </w:t>
      </w:r>
      <w:r w:rsidR="003C0C54">
        <w:rPr>
          <w:rFonts w:cs="Arial"/>
          <w:color w:val="000000"/>
          <w:sz w:val="22"/>
          <w:szCs w:val="22"/>
        </w:rPr>
        <w:t xml:space="preserve">  </w:t>
      </w:r>
      <w:r w:rsidR="00D61259">
        <w:rPr>
          <w:noProof/>
        </w:rPr>
        <w:drawing>
          <wp:inline distT="0" distB="0" distL="0" distR="0" wp14:anchorId="072145E7" wp14:editId="3C323BD5">
            <wp:extent cx="2743200" cy="2825087"/>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cstate="hqprint">
                      <a:extLst>
                        <a:ext uri="{28A0092B-C50C-407E-A947-70E740481C1C}">
                          <a14:useLocalDpi xmlns:a14="http://schemas.microsoft.com/office/drawing/2010/main"/>
                        </a:ext>
                      </a:extLst>
                    </a:blip>
                    <a:srcRect/>
                    <a:stretch>
                      <a:fillRect/>
                    </a:stretch>
                  </pic:blipFill>
                  <pic:spPr>
                    <a:xfrm>
                      <a:off x="0" y="0"/>
                      <a:ext cx="2748185" cy="2830221"/>
                    </a:xfrm>
                    <a:prstGeom prst="rect">
                      <a:avLst/>
                    </a:prstGeom>
                    <a:ln/>
                  </pic:spPr>
                </pic:pic>
              </a:graphicData>
            </a:graphic>
          </wp:inline>
        </w:drawing>
      </w:r>
      <w:r w:rsidR="00D61259">
        <w:rPr>
          <w:rFonts w:cs="Arial"/>
          <w:color w:val="000000"/>
          <w:sz w:val="22"/>
          <w:szCs w:val="22"/>
        </w:rPr>
        <w:t xml:space="preserve">  </w:t>
      </w:r>
      <w:r w:rsidR="00D61259">
        <w:rPr>
          <w:noProof/>
        </w:rPr>
        <w:drawing>
          <wp:inline distT="0" distB="0" distL="0" distR="0" wp14:anchorId="32930E06" wp14:editId="1A5A0417">
            <wp:extent cx="2650547" cy="282508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hqprint">
                      <a:extLst>
                        <a:ext uri="{28A0092B-C50C-407E-A947-70E740481C1C}">
                          <a14:useLocalDpi xmlns:a14="http://schemas.microsoft.com/office/drawing/2010/main"/>
                        </a:ext>
                      </a:extLst>
                    </a:blip>
                    <a:srcRect/>
                    <a:stretch>
                      <a:fillRect/>
                    </a:stretch>
                  </pic:blipFill>
                  <pic:spPr>
                    <a:xfrm>
                      <a:off x="0" y="0"/>
                      <a:ext cx="2660431" cy="2835622"/>
                    </a:xfrm>
                    <a:prstGeom prst="rect">
                      <a:avLst/>
                    </a:prstGeom>
                    <a:ln/>
                  </pic:spPr>
                </pic:pic>
              </a:graphicData>
            </a:graphic>
          </wp:inline>
        </w:drawing>
      </w:r>
    </w:p>
    <w:p w14:paraId="47CE8E78" w14:textId="70C5CDA3" w:rsidR="00223EDD" w:rsidRPr="00223EDD" w:rsidRDefault="00EC07FC" w:rsidP="00A13B9C">
      <w:pPr>
        <w:pStyle w:val="Caption"/>
        <w:jc w:val="center"/>
        <w:rPr>
          <w:rFonts w:ascii="Times New Roman" w:hAnsi="Times New Roman"/>
          <w:lang w:eastAsia="en-US"/>
        </w:rPr>
      </w:pPr>
      <w:r>
        <w:t xml:space="preserve">Figure </w:t>
      </w:r>
      <w:r w:rsidR="00FE4A0B">
        <w:fldChar w:fldCharType="begin"/>
      </w:r>
      <w:r w:rsidR="00FE4A0B">
        <w:instrText xml:space="preserve"> SEQ Figure \* ARABIC </w:instrText>
      </w:r>
      <w:r w:rsidR="00FE4A0B">
        <w:fldChar w:fldCharType="separate"/>
      </w:r>
      <w:r w:rsidR="00AC197E">
        <w:rPr>
          <w:noProof/>
        </w:rPr>
        <w:t>5</w:t>
      </w:r>
      <w:r w:rsidR="00FE4A0B">
        <w:rPr>
          <w:noProof/>
        </w:rPr>
        <w:fldChar w:fldCharType="end"/>
      </w:r>
      <w:r>
        <w:t xml:space="preserve">: </w:t>
      </w:r>
      <w:r w:rsidRPr="00E63D84">
        <w:t>Fire-assay versus PhotonAssay correlation plots for drill-core samples (left) and reverse circulation drilling samples (right). PhotonAssay data are the average of measurements of two aliquots with a 2--3 mm top-size. Fire-assay data are the average o</w:t>
      </w:r>
      <w:r>
        <w:t>f five aliquots.</w:t>
      </w:r>
      <w:r w:rsidR="00B26486">
        <w:t xml:space="preserve">  </w:t>
      </w:r>
    </w:p>
    <w:p w14:paraId="79DADCBB" w14:textId="6C46BD52" w:rsidR="008D1B44" w:rsidRDefault="00F73684" w:rsidP="009B0F42">
      <w:pPr>
        <w:pStyle w:val="BodyText"/>
        <w:jc w:val="both"/>
        <w:rPr>
          <w:lang w:eastAsia="en-US"/>
        </w:rPr>
      </w:pPr>
      <w:r>
        <w:rPr>
          <w:lang w:eastAsia="en-US"/>
        </w:rPr>
        <w:t xml:space="preserve">Even </w:t>
      </w:r>
      <w:r w:rsidR="00CC780B">
        <w:rPr>
          <w:lang w:eastAsia="en-US"/>
        </w:rPr>
        <w:t>with</w:t>
      </w:r>
      <w:r>
        <w:rPr>
          <w:lang w:eastAsia="en-US"/>
        </w:rPr>
        <w:t xml:space="preserve"> fine</w:t>
      </w:r>
      <w:r w:rsidR="00FC2A87">
        <w:rPr>
          <w:lang w:eastAsia="en-US"/>
        </w:rPr>
        <w:t>ly</w:t>
      </w:r>
      <w:r>
        <w:rPr>
          <w:lang w:eastAsia="en-US"/>
        </w:rPr>
        <w:t xml:space="preserve"> disseminated gold, PhotonAssay </w:t>
      </w:r>
      <w:r w:rsidR="00CC780B">
        <w:rPr>
          <w:lang w:eastAsia="en-US"/>
        </w:rPr>
        <w:t xml:space="preserve">results show </w:t>
      </w:r>
      <w:r>
        <w:rPr>
          <w:lang w:eastAsia="en-US"/>
        </w:rPr>
        <w:t xml:space="preserve">a smaller </w:t>
      </w:r>
      <w:r w:rsidR="00CC780B">
        <w:rPr>
          <w:lang w:eastAsia="en-US"/>
        </w:rPr>
        <w:t xml:space="preserve">internal </w:t>
      </w:r>
      <w:r>
        <w:rPr>
          <w:lang w:eastAsia="en-US"/>
        </w:rPr>
        <w:t>variance</w:t>
      </w:r>
      <w:r w:rsidR="00CC780B">
        <w:rPr>
          <w:lang w:eastAsia="en-US"/>
        </w:rPr>
        <w:t xml:space="preserve"> at grades above 0.06 ppm</w:t>
      </w:r>
      <w:r>
        <w:rPr>
          <w:lang w:eastAsia="en-US"/>
        </w:rPr>
        <w:t xml:space="preserve"> due to the larger sample size</w:t>
      </w:r>
      <w:r w:rsidR="00CC780B">
        <w:rPr>
          <w:lang w:eastAsia="en-US"/>
        </w:rPr>
        <w:t xml:space="preserve"> (</w:t>
      </w:r>
      <w:r w:rsidR="00CC780B">
        <w:rPr>
          <w:lang w:eastAsia="en-US"/>
        </w:rPr>
        <w:fldChar w:fldCharType="begin"/>
      </w:r>
      <w:r w:rsidR="00CC780B">
        <w:rPr>
          <w:lang w:eastAsia="en-US"/>
        </w:rPr>
        <w:instrText xml:space="preserve"> REF _Ref11185676 \h </w:instrText>
      </w:r>
      <w:r w:rsidR="00CC780B">
        <w:rPr>
          <w:lang w:eastAsia="en-US"/>
        </w:rPr>
      </w:r>
      <w:r w:rsidR="00CC780B">
        <w:rPr>
          <w:lang w:eastAsia="en-US"/>
        </w:rPr>
        <w:fldChar w:fldCharType="separate"/>
      </w:r>
      <w:r w:rsidR="00CC780B">
        <w:t xml:space="preserve">Figure </w:t>
      </w:r>
      <w:r w:rsidR="00CC780B">
        <w:rPr>
          <w:noProof/>
        </w:rPr>
        <w:t>6</w:t>
      </w:r>
      <w:r w:rsidR="00CC780B">
        <w:rPr>
          <w:lang w:eastAsia="en-US"/>
        </w:rPr>
        <w:fldChar w:fldCharType="end"/>
      </w:r>
      <w:r w:rsidR="00CC780B">
        <w:rPr>
          <w:lang w:eastAsia="en-US"/>
        </w:rPr>
        <w:t>)</w:t>
      </w:r>
      <w:r>
        <w:rPr>
          <w:lang w:eastAsia="en-US"/>
        </w:rPr>
        <w:t xml:space="preserve">.  </w:t>
      </w:r>
    </w:p>
    <w:p w14:paraId="718B8BC7" w14:textId="77777777" w:rsidR="00E11A97" w:rsidRDefault="00E11A97" w:rsidP="00E11A97">
      <w:pPr>
        <w:pStyle w:val="BodyText"/>
        <w:jc w:val="both"/>
        <w:rPr>
          <w:lang w:eastAsia="en-US"/>
        </w:rPr>
      </w:pPr>
      <w:r>
        <w:rPr>
          <w:lang w:eastAsia="en-US"/>
        </w:rPr>
        <w:t>A major benefit of the PhotonAssay method is that it can provide results across a larger dynamic range (0.03-350 ppm for standard analysis, extensible to 35,000 ppm by reducing the X-ray beam power) in comparison to traditional fire-assay paired with a flame atomic absorption analyser (0.005-100 ppm). Also, as it is non-destructive, the same aliquot can be measured multiple times without damaging the sample.</w:t>
      </w:r>
    </w:p>
    <w:p w14:paraId="378C0716" w14:textId="77777777" w:rsidR="00F73684" w:rsidRDefault="00F73684" w:rsidP="00F73684">
      <w:pPr>
        <w:pStyle w:val="BodyText"/>
        <w:keepNext/>
        <w:jc w:val="center"/>
      </w:pPr>
      <w:r w:rsidRPr="00F73684">
        <w:rPr>
          <w:noProof/>
          <w:lang w:eastAsia="en-US"/>
        </w:rPr>
        <w:lastRenderedPageBreak/>
        <w:drawing>
          <wp:inline distT="0" distB="0" distL="0" distR="0" wp14:anchorId="0A5BE34C" wp14:editId="015B9579">
            <wp:extent cx="3596185" cy="2709081"/>
            <wp:effectExtent l="0" t="0" r="4445" b="0"/>
            <wp:docPr id="10" name="Content Placeholder 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pic:cNvPicPr>
                  </pic:nvPicPr>
                  <pic:blipFill>
                    <a:blip r:embed="rId17"/>
                    <a:stretch>
                      <a:fillRect/>
                    </a:stretch>
                  </pic:blipFill>
                  <pic:spPr>
                    <a:xfrm>
                      <a:off x="0" y="0"/>
                      <a:ext cx="3653109" cy="2751963"/>
                    </a:xfrm>
                    <a:prstGeom prst="rect">
                      <a:avLst/>
                    </a:prstGeom>
                  </pic:spPr>
                </pic:pic>
              </a:graphicData>
            </a:graphic>
          </wp:inline>
        </w:drawing>
      </w:r>
    </w:p>
    <w:p w14:paraId="615EEA57" w14:textId="240A33D3" w:rsidR="00F73684" w:rsidRPr="00223EDD" w:rsidRDefault="00F73684" w:rsidP="00A13B9C">
      <w:pPr>
        <w:pStyle w:val="Caption"/>
        <w:jc w:val="center"/>
        <w:rPr>
          <w:lang w:eastAsia="en-US"/>
        </w:rPr>
      </w:pPr>
      <w:bookmarkStart w:id="3" w:name="_Ref11185676"/>
      <w:r>
        <w:t xml:space="preserve">Figure </w:t>
      </w:r>
      <w:r w:rsidR="00FE4A0B">
        <w:fldChar w:fldCharType="begin"/>
      </w:r>
      <w:r w:rsidR="00FE4A0B">
        <w:instrText xml:space="preserve"> SEQ Figure \* ARABIC </w:instrText>
      </w:r>
      <w:r w:rsidR="00FE4A0B">
        <w:fldChar w:fldCharType="separate"/>
      </w:r>
      <w:r w:rsidR="00AC197E">
        <w:rPr>
          <w:noProof/>
        </w:rPr>
        <w:t>6</w:t>
      </w:r>
      <w:r w:rsidR="00FE4A0B">
        <w:rPr>
          <w:noProof/>
        </w:rPr>
        <w:fldChar w:fldCharType="end"/>
      </w:r>
      <w:bookmarkEnd w:id="3"/>
      <w:r>
        <w:t>: Comparison of PhotonAssay (</w:t>
      </w:r>
      <w:r w:rsidR="00F809A3">
        <w:t>SGA</w:t>
      </w:r>
      <w:r>
        <w:t xml:space="preserve">) and Fire Assay (FA50AAS) by analysis of variance (right) and pair analysis (left). Similar to </w:t>
      </w:r>
      <w:r w:rsidR="00AF0222">
        <w:fldChar w:fldCharType="begin"/>
      </w:r>
      <w:r w:rsidR="00AF0222">
        <w:instrText xml:space="preserve"> REF _Ref11185750 \h </w:instrText>
      </w:r>
      <w:r w:rsidR="00A13B9C">
        <w:instrText xml:space="preserve"> \* MERGEFORMAT </w:instrText>
      </w:r>
      <w:r w:rsidR="00AF0222">
        <w:fldChar w:fldCharType="separate"/>
      </w:r>
      <w:r w:rsidR="00AF0222">
        <w:t xml:space="preserve">Figure </w:t>
      </w:r>
      <w:r w:rsidR="00AF0222">
        <w:rPr>
          <w:noProof/>
        </w:rPr>
        <w:t>4</w:t>
      </w:r>
      <w:r w:rsidR="00AF0222">
        <w:fldChar w:fldCharType="end"/>
      </w:r>
      <w:r>
        <w:t xml:space="preserve">, the overlapping circles of the Student’s t-test and Tukey-Kramer HST pairs analysis suggest there are no significant differences in the results.  The size of the circles represents the variance in the same set </w:t>
      </w:r>
      <w:r w:rsidR="0092645D">
        <w:t>of samples with</w:t>
      </w:r>
      <w:r>
        <w:t xml:space="preserve"> different aliquots </w:t>
      </w:r>
      <w:r w:rsidR="0092645D">
        <w:t>analysed</w:t>
      </w:r>
      <w:r>
        <w:t>.</w:t>
      </w:r>
    </w:p>
    <w:p w14:paraId="55996C8D" w14:textId="0489C071" w:rsidR="008238DA" w:rsidRDefault="008238DA" w:rsidP="008238DA">
      <w:pPr>
        <w:pStyle w:val="Heading2"/>
      </w:pPr>
      <w:bookmarkStart w:id="4" w:name="OLE_LINK1"/>
      <w:r>
        <w:t>Analysis of Coarse Gold Deposits</w:t>
      </w:r>
    </w:p>
    <w:bookmarkEnd w:id="4"/>
    <w:p w14:paraId="45F530BD" w14:textId="4BE8419F" w:rsidR="002B6CE6" w:rsidRDefault="002B6CE6" w:rsidP="00E11A97">
      <w:pPr>
        <w:pStyle w:val="BodyText"/>
        <w:jc w:val="both"/>
      </w:pPr>
      <w:r>
        <w:t xml:space="preserve">Coarse-grained gold </w:t>
      </w:r>
      <w:r w:rsidR="00AF0222">
        <w:t>deposits are</w:t>
      </w:r>
      <w:r>
        <w:t xml:space="preserve"> </w:t>
      </w:r>
      <w:r w:rsidR="00A42DDA">
        <w:t>typically</w:t>
      </w:r>
      <w:r>
        <w:t xml:space="preserve"> characterised </w:t>
      </w:r>
      <w:r w:rsidR="00AF0222">
        <w:t>by having</w:t>
      </w:r>
      <w:r>
        <w:t xml:space="preserve"> macro-sized gold grains or veins running through the ore</w:t>
      </w:r>
      <w:r w:rsidR="00AF0222">
        <w:t xml:space="preserve"> body</w:t>
      </w:r>
      <w:r>
        <w:t xml:space="preserve">.  When coarsely disseminated gold exists, the </w:t>
      </w:r>
      <w:r w:rsidR="00AF0222">
        <w:t xml:space="preserve">grade </w:t>
      </w:r>
      <w:r>
        <w:t>variance</w:t>
      </w:r>
      <w:r w:rsidR="00AF0222">
        <w:t xml:space="preserve"> </w:t>
      </w:r>
      <w:r>
        <w:t xml:space="preserve">when the sample aliquot size is small compared to the bulk sample is greater </w:t>
      </w:r>
      <w:r w:rsidR="00AF0222">
        <w:t xml:space="preserve">than for finely disseminated gold </w:t>
      </w:r>
      <w:r>
        <w:t xml:space="preserve">(Figure </w:t>
      </w:r>
      <w:r w:rsidR="009B0F42">
        <w:t>7</w:t>
      </w:r>
      <w:r>
        <w:t xml:space="preserve">). Therefore, </w:t>
      </w:r>
      <w:r w:rsidR="00AF0222">
        <w:t xml:space="preserve">either the gold particle size needs to be reduced, or </w:t>
      </w:r>
      <w:r>
        <w:t xml:space="preserve">analysis needs to be </w:t>
      </w:r>
      <w:r w:rsidR="00AF0222">
        <w:t xml:space="preserve">performed </w:t>
      </w:r>
      <w:r>
        <w:t>on larger sample size</w:t>
      </w:r>
      <w:r w:rsidR="00AF0222">
        <w:t>s</w:t>
      </w:r>
      <w:r>
        <w:t xml:space="preserve"> </w:t>
      </w:r>
      <w:r w:rsidR="00AF0222">
        <w:t>to obtain a</w:t>
      </w:r>
      <w:r>
        <w:t xml:space="preserve"> representative value of the gold grade.</w:t>
      </w:r>
    </w:p>
    <w:p w14:paraId="603FF0B1" w14:textId="22D7D685" w:rsidR="002B6CE6" w:rsidRDefault="004E7AD0" w:rsidP="002B6CE6">
      <w:pPr>
        <w:pStyle w:val="BodyText"/>
        <w:keepNext/>
        <w:jc w:val="center"/>
      </w:pPr>
      <w:r>
        <w:rPr>
          <w:noProof/>
        </w:rPr>
        <w:drawing>
          <wp:inline distT="0" distB="0" distL="0" distR="0" wp14:anchorId="4D4D79DE" wp14:editId="5B356D5D">
            <wp:extent cx="3213612" cy="2784143"/>
            <wp:effectExtent l="0" t="0" r="635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hqprint">
                      <a:extLst>
                        <a:ext uri="{28A0092B-C50C-407E-A947-70E740481C1C}">
                          <a14:useLocalDpi xmlns:a14="http://schemas.microsoft.com/office/drawing/2010/main"/>
                        </a:ext>
                      </a:extLst>
                    </a:blip>
                    <a:srcRect/>
                    <a:stretch>
                      <a:fillRect/>
                    </a:stretch>
                  </pic:blipFill>
                  <pic:spPr>
                    <a:xfrm>
                      <a:off x="0" y="0"/>
                      <a:ext cx="3242584" cy="2809243"/>
                    </a:xfrm>
                    <a:prstGeom prst="rect">
                      <a:avLst/>
                    </a:prstGeom>
                    <a:ln/>
                  </pic:spPr>
                </pic:pic>
              </a:graphicData>
            </a:graphic>
          </wp:inline>
        </w:drawing>
      </w:r>
    </w:p>
    <w:p w14:paraId="4F0BEF5C" w14:textId="554250DA" w:rsidR="008238DA" w:rsidRDefault="002B6CE6" w:rsidP="00A13B9C">
      <w:pPr>
        <w:pStyle w:val="Caption"/>
        <w:jc w:val="center"/>
      </w:pPr>
      <w:r>
        <w:t xml:space="preserve">Figure </w:t>
      </w:r>
      <w:r w:rsidR="00FE4A0B">
        <w:fldChar w:fldCharType="begin"/>
      </w:r>
      <w:r w:rsidR="00FE4A0B">
        <w:instrText xml:space="preserve"> SEQ Figure \* ARABIC </w:instrText>
      </w:r>
      <w:r w:rsidR="00FE4A0B">
        <w:fldChar w:fldCharType="separate"/>
      </w:r>
      <w:r w:rsidR="00AC197E">
        <w:rPr>
          <w:noProof/>
        </w:rPr>
        <w:t>7</w:t>
      </w:r>
      <w:r w:rsidR="00FE4A0B">
        <w:rPr>
          <w:noProof/>
        </w:rPr>
        <w:fldChar w:fldCharType="end"/>
      </w:r>
      <w:r>
        <w:t>: Illustration of aliquots from samples with finely disseminated gold (a) and coarse gold (b).  Th</w:t>
      </w:r>
      <w:r w:rsidR="00A01023">
        <w:t>e</w:t>
      </w:r>
      <w:r>
        <w:t xml:space="preserve"> resulting distribution in gold concentrations are shown on the right.</w:t>
      </w:r>
    </w:p>
    <w:p w14:paraId="5AA8D083" w14:textId="721D5E34" w:rsidR="0091648E" w:rsidRPr="00AD1E92" w:rsidRDefault="0091648E" w:rsidP="00E11A97">
      <w:pPr>
        <w:pStyle w:val="BodyText"/>
        <w:jc w:val="both"/>
      </w:pPr>
      <w:r w:rsidRPr="00AD1E92">
        <w:t xml:space="preserve">A large suite of approximately 1450 samples was procured from an Australian mine site known to have an extremely coarse gold distribution. The samples, which comprised half NQ </w:t>
      </w:r>
      <w:r w:rsidR="0035357C">
        <w:t xml:space="preserve">sized diamond </w:t>
      </w:r>
      <w:r w:rsidRPr="00AD1E92">
        <w:t>core, were crushed to a top size of 10 mm and then pulverised in an LM5 mill to achieve a particle size of 90</w:t>
      </w:r>
      <w:r w:rsidR="005C31DE">
        <w:t xml:space="preserve"> percent</w:t>
      </w:r>
      <w:r w:rsidRPr="00AD1E92">
        <w:t xml:space="preserve"> passing 75 </w:t>
      </w:r>
      <w:r w:rsidR="0035357C">
        <w:rPr>
          <w:rFonts w:cs="Arial"/>
        </w:rPr>
        <w:t>µ</w:t>
      </w:r>
      <w:r w:rsidRPr="00AD1E92">
        <w:t xml:space="preserve">m. Splits of the pulp were taken for PhotonAssay and 25 g fire-assay (FA25). </w:t>
      </w:r>
    </w:p>
    <w:p w14:paraId="7961F4FB" w14:textId="34DD87D6" w:rsidR="0091648E" w:rsidRDefault="0091648E" w:rsidP="00E11A97">
      <w:pPr>
        <w:pStyle w:val="BodyText"/>
        <w:jc w:val="both"/>
      </w:pPr>
      <w:r w:rsidRPr="00AD1E92">
        <w:t xml:space="preserve">Comparison </w:t>
      </w:r>
      <w:r w:rsidR="0035357C">
        <w:t xml:space="preserve">of the </w:t>
      </w:r>
      <w:r w:rsidRPr="00AD1E92">
        <w:t xml:space="preserve">results are shown in </w:t>
      </w:r>
      <w:r w:rsidRPr="00AD1E92">
        <w:fldChar w:fldCharType="begin"/>
      </w:r>
      <w:r w:rsidRPr="00AD1E92">
        <w:instrText xml:space="preserve"> REF _Ref11258751 \h </w:instrText>
      </w:r>
      <w:r w:rsidR="005D4CA1">
        <w:instrText xml:space="preserve"> \* MERGEFORMAT </w:instrText>
      </w:r>
      <w:r w:rsidRPr="00AD1E92">
        <w:fldChar w:fldCharType="separate"/>
      </w:r>
      <w:r w:rsidRPr="005D4CA1">
        <w:t xml:space="preserve">Figure </w:t>
      </w:r>
      <w:r w:rsidRPr="00AD1E92">
        <w:t>8</w:t>
      </w:r>
      <w:r w:rsidRPr="00AD1E92">
        <w:fldChar w:fldCharType="end"/>
      </w:r>
      <w:r w:rsidRPr="00AD1E92">
        <w:t xml:space="preserve">. The left-hand plot shows a pairwise comparison of the two assay methods. The right-hand plot illustrates the grade distribution, plotting PhotonAssay </w:t>
      </w:r>
      <w:r w:rsidRPr="00AD1E92">
        <w:lastRenderedPageBreak/>
        <w:t xml:space="preserve">grade (solid line) and fire-assay grade (points) as a function of sample number, after sorting all samples according to the PhotonAssay grade. </w:t>
      </w:r>
    </w:p>
    <w:p w14:paraId="0815F180" w14:textId="58B57979" w:rsidR="008D1B44" w:rsidRDefault="008D1B44" w:rsidP="00E11A97">
      <w:pPr>
        <w:pStyle w:val="BodyText"/>
        <w:jc w:val="both"/>
      </w:pPr>
      <w:r>
        <w:t>Overall, results from the two assay methods are in good agreement, with an R</w:t>
      </w:r>
      <w:r>
        <w:rPr>
          <w:vertAlign w:val="superscript"/>
        </w:rPr>
        <w:t>2</w:t>
      </w:r>
      <w:r>
        <w:t xml:space="preserve"> value of 0.953 and no systematic differences in the grade population. However, a significant number of samples show large differences in gold value: for about 10</w:t>
      </w:r>
      <w:r w:rsidR="005C31DE">
        <w:t xml:space="preserve"> percent</w:t>
      </w:r>
      <w:r>
        <w:t xml:space="preserve"> of the supplied samples, the fire-assay and PhotonAssay results differed by more than 25</w:t>
      </w:r>
      <w:r w:rsidR="005C31DE">
        <w:t xml:space="preserve"> percent</w:t>
      </w:r>
      <w:r>
        <w:t>.</w:t>
      </w:r>
    </w:p>
    <w:p w14:paraId="4CDE60E4" w14:textId="62492903" w:rsidR="008D1B44" w:rsidRDefault="008D1B44" w:rsidP="00E11A97">
      <w:pPr>
        <w:pStyle w:val="BodyText"/>
        <w:jc w:val="both"/>
      </w:pPr>
      <w:r>
        <w:t>This is not an uncommon finding</w:t>
      </w:r>
      <w:r w:rsidR="0035357C">
        <w:t xml:space="preserve"> in coarse gold deposits</w:t>
      </w:r>
      <w:r>
        <w:t xml:space="preserve"> and some mining companies have dealt this by having the samples analysed by either cyanide leach or screen fire assays.  Lyman </w:t>
      </w:r>
      <w:r w:rsidR="00B26486">
        <w:rPr>
          <w:i/>
        </w:rPr>
        <w:t xml:space="preserve">et al </w:t>
      </w:r>
      <w:r>
        <w:t xml:space="preserve">(2016) suggests that the best way to reduce sampling errors is by using a pulverising and leach process in which a crushed drill sample is placed into sealed containers and pulverised whilst simultaneously undergoing a cyanide leach.  </w:t>
      </w:r>
    </w:p>
    <w:p w14:paraId="22F4AE6A" w14:textId="40F9B390" w:rsidR="008D1B44" w:rsidRPr="005D4CA1" w:rsidRDefault="008D1B44" w:rsidP="00E11A97">
      <w:pPr>
        <w:pStyle w:val="BodyText"/>
        <w:jc w:val="both"/>
      </w:pPr>
      <w:r>
        <w:t>The process of cyanide leach (or gold cyanidation) was first developed in 1783 and is a well- understood and robust method for extracting gold.  However, cyanide salts are extremely toxic and the pulverise and leach process produces significant waste.  Quantitative results also require a follow-up fire-assay on residual solids to detect any undissolved gold.</w:t>
      </w:r>
    </w:p>
    <w:p w14:paraId="4AF82B52" w14:textId="51ADED57" w:rsidR="001E5E47" w:rsidRDefault="00A13B9C" w:rsidP="00AD1E92">
      <w:pPr>
        <w:keepNext/>
        <w:jc w:val="center"/>
      </w:pPr>
      <w:r>
        <w:rPr>
          <w:noProof/>
        </w:rPr>
        <w:drawing>
          <wp:inline distT="0" distB="0" distL="0" distR="0" wp14:anchorId="1876FB53" wp14:editId="25EC9B95">
            <wp:extent cx="6081847" cy="287195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png"/>
                    <pic:cNvPicPr/>
                  </pic:nvPicPr>
                  <pic:blipFill rotWithShape="1">
                    <a:blip r:embed="rId19">
                      <a:extLst>
                        <a:ext uri="{28A0092B-C50C-407E-A947-70E740481C1C}">
                          <a14:useLocalDpi xmlns:a14="http://schemas.microsoft.com/office/drawing/2010/main" val="0"/>
                        </a:ext>
                      </a:extLst>
                    </a:blip>
                    <a:srcRect l="4870" t="21056" r="7693" b="19429"/>
                    <a:stretch/>
                  </pic:blipFill>
                  <pic:spPr bwMode="auto">
                    <a:xfrm>
                      <a:off x="0" y="0"/>
                      <a:ext cx="6111459" cy="2885938"/>
                    </a:xfrm>
                    <a:prstGeom prst="rect">
                      <a:avLst/>
                    </a:prstGeom>
                    <a:ln>
                      <a:noFill/>
                    </a:ln>
                    <a:extLst>
                      <a:ext uri="{53640926-AAD7-44D8-BBD7-CCE9431645EC}">
                        <a14:shadowObscured xmlns:a14="http://schemas.microsoft.com/office/drawing/2010/main"/>
                      </a:ext>
                    </a:extLst>
                  </pic:spPr>
                </pic:pic>
              </a:graphicData>
            </a:graphic>
          </wp:inline>
        </w:drawing>
      </w:r>
    </w:p>
    <w:p w14:paraId="38F5F264" w14:textId="75B132F3" w:rsidR="004E7AD0" w:rsidRDefault="001E5E47" w:rsidP="00AD1E92">
      <w:pPr>
        <w:pStyle w:val="Caption"/>
        <w:jc w:val="center"/>
      </w:pPr>
      <w:bookmarkStart w:id="5" w:name="_Ref11258751"/>
      <w:r>
        <w:t xml:space="preserve">Figure </w:t>
      </w:r>
      <w:r w:rsidR="00FE4A0B">
        <w:fldChar w:fldCharType="begin"/>
      </w:r>
      <w:r w:rsidR="00FE4A0B">
        <w:instrText xml:space="preserve"> SEQ Figure \* ARABIC </w:instrText>
      </w:r>
      <w:r w:rsidR="00FE4A0B">
        <w:fldChar w:fldCharType="separate"/>
      </w:r>
      <w:r w:rsidR="00AC197E">
        <w:rPr>
          <w:noProof/>
        </w:rPr>
        <w:t>8</w:t>
      </w:r>
      <w:r w:rsidR="00FE4A0B">
        <w:rPr>
          <w:noProof/>
        </w:rPr>
        <w:fldChar w:fldCharType="end"/>
      </w:r>
      <w:bookmarkEnd w:id="5"/>
      <w:r>
        <w:t xml:space="preserve">: </w:t>
      </w:r>
      <w:r w:rsidR="0091648E">
        <w:t>Pairwise comparison of PhotonAssay and fire-assay grades for a large, coarse-gold sample suite (left). Grade distribution (right), with PhotonAssay and fire-assay grades plotted as a function of sample number, after samples have been sorted by PhotonAssay grade.</w:t>
      </w:r>
    </w:p>
    <w:p w14:paraId="7BFD9152" w14:textId="43A4B9B6" w:rsidR="00E24E50" w:rsidRDefault="00E24E50" w:rsidP="00E11A97">
      <w:pPr>
        <w:pStyle w:val="BodyText"/>
        <w:jc w:val="both"/>
      </w:pPr>
      <w:r>
        <w:t>A screen fire assay is done by taking about 1 kg of pulverised sample and passing it through a screen mesh.  The plus fraction (the material left on top of the screen) is expected to contain the macro-sized gold and is analysed to extinction.  The minus fraction (the material that passes through the screen) is expected to hold the micron-sized gold grains and to be fairly hom</w:t>
      </w:r>
      <w:r w:rsidR="008D1B44">
        <w:t>o</w:t>
      </w:r>
      <w:r>
        <w:t>geneous.  The minus fraction is analysed in duplicate.  The gold value is then calculated from a weighted average of the plus and minus fractions. Althoug</w:t>
      </w:r>
      <w:r w:rsidR="008D1B44">
        <w:t>h</w:t>
      </w:r>
      <w:r>
        <w:t xml:space="preserve"> this technique is very effective, it is </w:t>
      </w:r>
      <w:r w:rsidR="00EA78A6">
        <w:t xml:space="preserve">more </w:t>
      </w:r>
      <w:r>
        <w:t>time consuming</w:t>
      </w:r>
      <w:r w:rsidR="00EA78A6">
        <w:t xml:space="preserve"> </w:t>
      </w:r>
      <w:r>
        <w:t>and costly.</w:t>
      </w:r>
    </w:p>
    <w:p w14:paraId="790D7E93" w14:textId="7A37B984" w:rsidR="00E24E50" w:rsidRDefault="00E24E50" w:rsidP="00E11A97">
      <w:pPr>
        <w:pStyle w:val="BodyText"/>
        <w:jc w:val="both"/>
      </w:pPr>
      <w:r>
        <w:t xml:space="preserve">To explore </w:t>
      </w:r>
      <w:r w:rsidR="008D1B44">
        <w:t>the observed PhotonAssay versus fire-assay discrepancies</w:t>
      </w:r>
      <w:r>
        <w:t xml:space="preserve">, </w:t>
      </w:r>
      <w:r w:rsidR="001B2582">
        <w:t>62 samples from the original suite</w:t>
      </w:r>
      <w:r>
        <w:t xml:space="preserve"> showing the largest discrepancies were re-analysed </w:t>
      </w:r>
      <w:r w:rsidR="00EA78A6">
        <w:t>by</w:t>
      </w:r>
      <w:r>
        <w:t xml:space="preserve"> screened fire-assay. </w:t>
      </w:r>
      <w:r w:rsidR="001B2582">
        <w:fldChar w:fldCharType="begin"/>
      </w:r>
      <w:r w:rsidR="001B2582">
        <w:instrText xml:space="preserve"> REF _Ref11260607 \h </w:instrText>
      </w:r>
      <w:r w:rsidR="005D4CA1">
        <w:instrText xml:space="preserve"> \* MERGEFORMAT </w:instrText>
      </w:r>
      <w:r w:rsidR="001B2582">
        <w:fldChar w:fldCharType="separate"/>
      </w:r>
      <w:r w:rsidR="001B2582">
        <w:t xml:space="preserve">Figure </w:t>
      </w:r>
      <w:r w:rsidR="001B2582">
        <w:rPr>
          <w:noProof/>
        </w:rPr>
        <w:t>9</w:t>
      </w:r>
      <w:r w:rsidR="001B2582">
        <w:fldChar w:fldCharType="end"/>
      </w:r>
      <w:r w:rsidR="001B2582">
        <w:t xml:space="preserve"> plots the results from this exercise. </w:t>
      </w:r>
    </w:p>
    <w:p w14:paraId="78D36E53" w14:textId="001CE68B" w:rsidR="00A13B9C" w:rsidRPr="008D1B44" w:rsidRDefault="00A13B9C" w:rsidP="00A13B9C">
      <w:pPr>
        <w:pStyle w:val="BodyText"/>
        <w:jc w:val="both"/>
      </w:pPr>
      <w:r w:rsidRPr="008D1B44">
        <w:t xml:space="preserve">Blue points indicate the PhotonAssay to fire-assay grade ratio for the 25 g fire-assay measurements; gold points indicate the PhotonAssay to screened fire-assay ratio. The vertical lines connect the two ratios calculated for each individual sample. </w:t>
      </w:r>
      <w:r>
        <w:t xml:space="preserve">The </w:t>
      </w:r>
      <w:r w:rsidRPr="008D1B44">
        <w:t>PhotonAssay results agree much better with the screened fire-assay results than the 25 g regular fire-assay measurements, due to the much larger mass sample aliquots used for the former analyses compared to the latter.</w:t>
      </w:r>
    </w:p>
    <w:p w14:paraId="31C1F4A7" w14:textId="77777777" w:rsidR="00A13B9C" w:rsidRPr="005F56C3" w:rsidRDefault="00A13B9C" w:rsidP="00E11A97">
      <w:pPr>
        <w:pStyle w:val="BodyText"/>
        <w:jc w:val="both"/>
      </w:pPr>
    </w:p>
    <w:p w14:paraId="70A3C41B" w14:textId="0AD38DE9" w:rsidR="00F50771" w:rsidRDefault="00DE631A" w:rsidP="001B2582">
      <w:pPr>
        <w:pStyle w:val="BodyText"/>
        <w:jc w:val="center"/>
      </w:pPr>
      <w:r>
        <w:rPr>
          <w:noProof/>
        </w:rPr>
        <w:lastRenderedPageBreak/>
        <w:drawing>
          <wp:inline distT="0" distB="0" distL="0" distR="0" wp14:anchorId="70F7E31B" wp14:editId="415D34E4">
            <wp:extent cx="5947933" cy="31848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png"/>
                    <pic:cNvPicPr/>
                  </pic:nvPicPr>
                  <pic:blipFill rotWithShape="1">
                    <a:blip r:embed="rId20">
                      <a:extLst>
                        <a:ext uri="{28A0092B-C50C-407E-A947-70E740481C1C}">
                          <a14:useLocalDpi xmlns:a14="http://schemas.microsoft.com/office/drawing/2010/main" val="0"/>
                        </a:ext>
                      </a:extLst>
                    </a:blip>
                    <a:srcRect l="7035" t="3822" r="7245"/>
                    <a:stretch/>
                  </pic:blipFill>
                  <pic:spPr bwMode="auto">
                    <a:xfrm>
                      <a:off x="0" y="0"/>
                      <a:ext cx="5971551" cy="3197504"/>
                    </a:xfrm>
                    <a:prstGeom prst="rect">
                      <a:avLst/>
                    </a:prstGeom>
                    <a:ln>
                      <a:noFill/>
                    </a:ln>
                    <a:extLst>
                      <a:ext uri="{53640926-AAD7-44D8-BBD7-CCE9431645EC}">
                        <a14:shadowObscured xmlns:a14="http://schemas.microsoft.com/office/drawing/2010/main"/>
                      </a:ext>
                    </a:extLst>
                  </pic:spPr>
                </pic:pic>
              </a:graphicData>
            </a:graphic>
          </wp:inline>
        </w:drawing>
      </w:r>
    </w:p>
    <w:p w14:paraId="68CD553C" w14:textId="7F596397" w:rsidR="001B2582" w:rsidRDefault="001B2582" w:rsidP="00A13B9C">
      <w:pPr>
        <w:pStyle w:val="Caption"/>
        <w:jc w:val="center"/>
      </w:pPr>
      <w:bookmarkStart w:id="6" w:name="_Ref11260607"/>
      <w:r>
        <w:t xml:space="preserve">Figure </w:t>
      </w:r>
      <w:r w:rsidR="00FE4A0B">
        <w:fldChar w:fldCharType="begin"/>
      </w:r>
      <w:r w:rsidR="00FE4A0B">
        <w:instrText xml:space="preserve"> SEQ Figure \* ARABIC </w:instrText>
      </w:r>
      <w:r w:rsidR="00FE4A0B">
        <w:fldChar w:fldCharType="separate"/>
      </w:r>
      <w:r>
        <w:rPr>
          <w:noProof/>
        </w:rPr>
        <w:t>9</w:t>
      </w:r>
      <w:r w:rsidR="00FE4A0B">
        <w:rPr>
          <w:noProof/>
        </w:rPr>
        <w:fldChar w:fldCharType="end"/>
      </w:r>
      <w:bookmarkEnd w:id="6"/>
      <w:r>
        <w:t>. Comparison of 25g fire-assay (FA25) and screened fire-assay (SFA) and PhotonAssay results for selected subset of samples. The ratio of the FA25 (blue points) and SFA (gold points) grade values to the PhotonAssay value is plotted as a function of the mean grade for each sample. The vertical lines connect corresponding fire-assay measurements for each sample.</w:t>
      </w:r>
    </w:p>
    <w:p w14:paraId="010C2A0C" w14:textId="71877A31" w:rsidR="006D548A" w:rsidRDefault="00F50771" w:rsidP="00E11A97">
      <w:pPr>
        <w:pStyle w:val="BodyText"/>
        <w:jc w:val="both"/>
      </w:pPr>
      <w:r w:rsidRPr="008D1B44">
        <w:t xml:space="preserve">The larger sample size of the PhotonAssay instrument allows for accurate analysis with a similar sample size </w:t>
      </w:r>
      <w:r w:rsidR="008D1B44" w:rsidRPr="008D1B44">
        <w:t xml:space="preserve">used for </w:t>
      </w:r>
      <w:r w:rsidRPr="008D1B44">
        <w:t>screen fire</w:t>
      </w:r>
      <w:r w:rsidR="001B2582" w:rsidRPr="008D1B44">
        <w:t>-</w:t>
      </w:r>
      <w:r w:rsidRPr="008D1B44">
        <w:t>assay</w:t>
      </w:r>
      <w:r w:rsidR="001B2582" w:rsidRPr="008D1B44">
        <w:t>s</w:t>
      </w:r>
      <w:r w:rsidRPr="008D1B44">
        <w:t xml:space="preserve"> or cyanide leach</w:t>
      </w:r>
      <w:r w:rsidR="001B2582" w:rsidRPr="008D1B44">
        <w:t>,</w:t>
      </w:r>
      <w:r w:rsidRPr="008D1B44">
        <w:t xml:space="preserve"> but without the </w:t>
      </w:r>
      <w:r w:rsidR="001B2582" w:rsidRPr="008D1B44">
        <w:t xml:space="preserve">use of </w:t>
      </w:r>
      <w:r w:rsidRPr="008D1B44">
        <w:t>toxic chemicals or time</w:t>
      </w:r>
      <w:r w:rsidR="005D4CA1" w:rsidRPr="008D1B44">
        <w:t>-</w:t>
      </w:r>
      <w:r w:rsidRPr="008D1B44">
        <w:t>consuming</w:t>
      </w:r>
      <w:r w:rsidR="005D4CA1" w:rsidRPr="008D1B44">
        <w:t xml:space="preserve"> preparation</w:t>
      </w:r>
      <w:r w:rsidRPr="008D1B44">
        <w:t xml:space="preserve">.  </w:t>
      </w:r>
    </w:p>
    <w:p w14:paraId="1D0703AE" w14:textId="1E472F50" w:rsidR="00652406" w:rsidRDefault="00652406" w:rsidP="00E11A97">
      <w:pPr>
        <w:pStyle w:val="Heading2"/>
        <w:jc w:val="both"/>
      </w:pPr>
      <w:r>
        <w:t>Analysis of Core Samples</w:t>
      </w:r>
    </w:p>
    <w:p w14:paraId="1D45E24A" w14:textId="528D26F5" w:rsidR="00652406" w:rsidRPr="008D1B44" w:rsidRDefault="004831CC" w:rsidP="00E11A97">
      <w:pPr>
        <w:pStyle w:val="BodyText"/>
        <w:jc w:val="both"/>
      </w:pPr>
      <w:r w:rsidRPr="008D1B44">
        <w:t xml:space="preserve">Over the </w:t>
      </w:r>
      <w:r w:rsidR="005D4CA1" w:rsidRPr="008D1B44">
        <w:t>p</w:t>
      </w:r>
      <w:r w:rsidRPr="008D1B44">
        <w:t>ast 5</w:t>
      </w:r>
      <w:r w:rsidR="005D4CA1" w:rsidRPr="008D1B44">
        <w:t>-</w:t>
      </w:r>
      <w:r w:rsidRPr="008D1B44">
        <w:t>8 years</w:t>
      </w:r>
      <w:r w:rsidR="005D4CA1" w:rsidRPr="008D1B44">
        <w:t>, there has been growing interest in the prospects of</w:t>
      </w:r>
      <w:r w:rsidRPr="008D1B44">
        <w:t xml:space="preserve"> sorting ore </w:t>
      </w:r>
      <w:r w:rsidR="005D4CA1" w:rsidRPr="008D1B44">
        <w:t>prior to comminution to reject g</w:t>
      </w:r>
      <w:r w:rsidR="00EA78A6">
        <w:t>angue</w:t>
      </w:r>
      <w:r w:rsidR="005D4CA1" w:rsidRPr="008D1B44">
        <w:t>, reduce energy and water usage and improve plant throughput</w:t>
      </w:r>
      <w:r w:rsidRPr="008D1B44">
        <w:t xml:space="preserve">.  Many </w:t>
      </w:r>
      <w:r w:rsidR="005D4CA1" w:rsidRPr="008D1B44">
        <w:t>current ore-sorting</w:t>
      </w:r>
      <w:r w:rsidRPr="008D1B44">
        <w:t xml:space="preserve"> system</w:t>
      </w:r>
      <w:r w:rsidR="00A904D2" w:rsidRPr="008D1B44">
        <w:t>s</w:t>
      </w:r>
      <w:r w:rsidRPr="008D1B44">
        <w:t xml:space="preserve"> depend on </w:t>
      </w:r>
      <w:r w:rsidR="005D4CA1" w:rsidRPr="008D1B44">
        <w:t xml:space="preserve">readily-measurable rock </w:t>
      </w:r>
      <w:r w:rsidRPr="008D1B44">
        <w:t xml:space="preserve">characteristics such as colour, size or </w:t>
      </w:r>
      <w:r w:rsidR="005D4CA1" w:rsidRPr="008D1B44">
        <w:t>infrared reflectance rather than direct measurement o</w:t>
      </w:r>
      <w:r w:rsidRPr="008D1B44">
        <w:t>f the concentration of the gold itself (</w:t>
      </w:r>
      <w:proofErr w:type="spellStart"/>
      <w:r w:rsidR="00092703" w:rsidRPr="00115B4E">
        <w:t>Kleine</w:t>
      </w:r>
      <w:proofErr w:type="spellEnd"/>
      <w:r w:rsidR="00EA78A6">
        <w:t xml:space="preserve"> </w:t>
      </w:r>
      <w:r w:rsidR="00EA78A6">
        <w:rPr>
          <w:i/>
        </w:rPr>
        <w:t>et al,</w:t>
      </w:r>
      <w:r w:rsidRPr="008D1B44">
        <w:t xml:space="preserve"> 2010).  It therefore becomes important to “train” the sorting system </w:t>
      </w:r>
      <w:r w:rsidR="005D4CA1" w:rsidRPr="008D1B44">
        <w:t xml:space="preserve">by developing </w:t>
      </w:r>
      <w:r w:rsidRPr="008D1B44">
        <w:t>correlation</w:t>
      </w:r>
      <w:r w:rsidR="005D4CA1" w:rsidRPr="008D1B44">
        <w:t>s</w:t>
      </w:r>
      <w:r w:rsidRPr="008D1B44">
        <w:t xml:space="preserve"> </w:t>
      </w:r>
      <w:r w:rsidR="005D4CA1" w:rsidRPr="008D1B44">
        <w:t>between</w:t>
      </w:r>
      <w:r w:rsidRPr="008D1B44">
        <w:t xml:space="preserve"> these properties and the actual gold concentration.</w:t>
      </w:r>
    </w:p>
    <w:p w14:paraId="30EC5E8F" w14:textId="5DF01AEE" w:rsidR="004831CC" w:rsidRPr="008D1B44" w:rsidRDefault="004831CC" w:rsidP="00E11A97">
      <w:pPr>
        <w:pStyle w:val="BodyText"/>
        <w:jc w:val="both"/>
      </w:pPr>
      <w:r w:rsidRPr="008D1B44">
        <w:t xml:space="preserve">PhotonAssay </w:t>
      </w:r>
      <w:r w:rsidR="005D4CA1" w:rsidRPr="008D1B44">
        <w:t>provides</w:t>
      </w:r>
      <w:r w:rsidRPr="008D1B44">
        <w:t xml:space="preserve"> a non-destructive way of analysing </w:t>
      </w:r>
      <w:r w:rsidR="005D4CA1" w:rsidRPr="008D1B44">
        <w:t>rock or</w:t>
      </w:r>
      <w:r w:rsidRPr="008D1B44">
        <w:t xml:space="preserve"> core pieces for their gold content</w:t>
      </w:r>
      <w:r w:rsidR="005D4CA1" w:rsidRPr="008D1B44">
        <w:t xml:space="preserve">; these samples </w:t>
      </w:r>
      <w:r w:rsidRPr="008D1B44">
        <w:t xml:space="preserve">can </w:t>
      </w:r>
      <w:r w:rsidR="005D4CA1" w:rsidRPr="008D1B44">
        <w:t xml:space="preserve">then </w:t>
      </w:r>
      <w:r w:rsidRPr="008D1B44">
        <w:t xml:space="preserve">be used to train the sorting system. </w:t>
      </w:r>
      <w:r w:rsidR="005D4CA1" w:rsidRPr="008D1B44">
        <w:t xml:space="preserve">In contrast, </w:t>
      </w:r>
      <w:r w:rsidRPr="008D1B44">
        <w:t xml:space="preserve">using traditional </w:t>
      </w:r>
      <w:r w:rsidR="005D4CA1" w:rsidRPr="008D1B44">
        <w:t xml:space="preserve">destructive </w:t>
      </w:r>
      <w:r w:rsidRPr="008D1B44">
        <w:t xml:space="preserve">techniques </w:t>
      </w:r>
      <w:r w:rsidR="005D4CA1" w:rsidRPr="008D1B44">
        <w:t>such as</w:t>
      </w:r>
      <w:r w:rsidRPr="008D1B44">
        <w:t xml:space="preserve"> fire</w:t>
      </w:r>
      <w:r w:rsidR="005D4CA1" w:rsidRPr="008D1B44">
        <w:t>-</w:t>
      </w:r>
      <w:r w:rsidRPr="008D1B44">
        <w:t>assay</w:t>
      </w:r>
      <w:r w:rsidR="005D4CA1" w:rsidRPr="008D1B44">
        <w:t>,</w:t>
      </w:r>
      <w:r w:rsidRPr="008D1B44">
        <w:t xml:space="preserve"> the geologist </w:t>
      </w:r>
      <w:r w:rsidR="005D4CA1" w:rsidRPr="008D1B44">
        <w:t xml:space="preserve">must </w:t>
      </w:r>
      <w:r w:rsidRPr="008D1B44">
        <w:t>rel</w:t>
      </w:r>
      <w:r w:rsidR="005D4CA1" w:rsidRPr="008D1B44">
        <w:t>y</w:t>
      </w:r>
      <w:r w:rsidRPr="008D1B44">
        <w:t xml:space="preserve"> on </w:t>
      </w:r>
      <w:r w:rsidR="005D4CA1" w:rsidRPr="008D1B44">
        <w:t>finding two similar samples (halves of a split core, for example), assaying one and assuming that the properties of the other are similar.</w:t>
      </w:r>
      <w:r w:rsidRPr="008D1B44">
        <w:t xml:space="preserve"> </w:t>
      </w:r>
    </w:p>
    <w:p w14:paraId="57398EA6" w14:textId="751C89E5" w:rsidR="004831CC" w:rsidRPr="008D1B44" w:rsidRDefault="004831CC" w:rsidP="00E11A97">
      <w:pPr>
        <w:pStyle w:val="BodyText"/>
        <w:jc w:val="both"/>
      </w:pPr>
      <w:r w:rsidRPr="008D1B44">
        <w:t xml:space="preserve">To look at the reliability </w:t>
      </w:r>
      <w:r w:rsidR="005D4CA1" w:rsidRPr="008D1B44">
        <w:t xml:space="preserve">of using PhotonAssay to measure single rock pieces, two experimental programs were performed using </w:t>
      </w:r>
      <w:r w:rsidRPr="008D1B44">
        <w:t xml:space="preserve">core samples </w:t>
      </w:r>
      <w:r w:rsidR="005D4CA1" w:rsidRPr="008D1B44">
        <w:t>from two drilling programs</w:t>
      </w:r>
      <w:r w:rsidRPr="008D1B44">
        <w:t xml:space="preserve">.  In the first </w:t>
      </w:r>
      <w:r w:rsidR="005D4CA1" w:rsidRPr="008D1B44">
        <w:t xml:space="preserve">test, approximately </w:t>
      </w:r>
      <w:r w:rsidR="00A904D2" w:rsidRPr="008D1B44">
        <w:t xml:space="preserve">400 samples </w:t>
      </w:r>
      <w:r w:rsidR="005D4CA1" w:rsidRPr="008D1B44">
        <w:t xml:space="preserve">of diamond core </w:t>
      </w:r>
      <w:r w:rsidRPr="008D1B44">
        <w:t>w</w:t>
      </w:r>
      <w:r w:rsidR="005D4CA1" w:rsidRPr="008D1B44">
        <w:t>ere</w:t>
      </w:r>
      <w:r w:rsidRPr="008D1B44">
        <w:t xml:space="preserve"> broken up into pieces that fit</w:t>
      </w:r>
      <w:r w:rsidR="008D1B44">
        <w:t>ted</w:t>
      </w:r>
      <w:r w:rsidRPr="008D1B44">
        <w:t xml:space="preserve"> inside </w:t>
      </w:r>
      <w:r w:rsidR="008D1B44">
        <w:t>a</w:t>
      </w:r>
      <w:r w:rsidR="008D1B44" w:rsidRPr="008D1B44">
        <w:t xml:space="preserve"> </w:t>
      </w:r>
      <w:r w:rsidR="005D4CA1" w:rsidRPr="008D1B44">
        <w:t>standard sample</w:t>
      </w:r>
      <w:r w:rsidRPr="008D1B44">
        <w:t xml:space="preserve"> jar</w:t>
      </w:r>
      <w:r w:rsidR="005D4CA1" w:rsidRPr="008D1B44">
        <w:t xml:space="preserve">, with the remaining space </w:t>
      </w:r>
      <w:r w:rsidRPr="008D1B44">
        <w:t xml:space="preserve">padded with silica sand.  The concentration of gold </w:t>
      </w:r>
      <w:r w:rsidR="00D67B26" w:rsidRPr="008D1B44">
        <w:t xml:space="preserve">in the core pieces </w:t>
      </w:r>
      <w:r w:rsidRPr="008D1B44">
        <w:t>was then back</w:t>
      </w:r>
      <w:r w:rsidR="00D67B26" w:rsidRPr="008D1B44">
        <w:t>-</w:t>
      </w:r>
      <w:r w:rsidRPr="008D1B44">
        <w:t xml:space="preserve">calculated based on the </w:t>
      </w:r>
      <w:r w:rsidR="00D67B26" w:rsidRPr="008D1B44">
        <w:t xml:space="preserve">known </w:t>
      </w:r>
      <w:r w:rsidRPr="008D1B44">
        <w:t xml:space="preserve">dilution </w:t>
      </w:r>
      <w:r w:rsidR="00D67B26" w:rsidRPr="008D1B44">
        <w:t xml:space="preserve">factor. The core pieces were then run through the ore-sorting system. </w:t>
      </w:r>
      <w:r w:rsidRPr="008D1B44">
        <w:t xml:space="preserve">The data were found to be qualitatively accurate </w:t>
      </w:r>
      <w:r w:rsidR="00A904D2" w:rsidRPr="008D1B44">
        <w:t>and the relative gold values were consistent with historical information on the ore</w:t>
      </w:r>
      <w:r w:rsidRPr="008D1B44">
        <w:t>.</w:t>
      </w:r>
    </w:p>
    <w:p w14:paraId="3E7A33C8" w14:textId="79FD8B8F" w:rsidR="004831CC" w:rsidRPr="008D1B44" w:rsidRDefault="00D67B26" w:rsidP="00E11A97">
      <w:pPr>
        <w:pStyle w:val="BodyText"/>
        <w:jc w:val="both"/>
      </w:pPr>
      <w:r w:rsidRPr="008D1B44">
        <w:t>A second test was performed</w:t>
      </w:r>
      <w:r w:rsidR="004831CC" w:rsidRPr="008D1B44">
        <w:t xml:space="preserve"> </w:t>
      </w:r>
      <w:r w:rsidRPr="008D1B44">
        <w:t xml:space="preserve">to evaluate </w:t>
      </w:r>
      <w:r w:rsidR="004831CC" w:rsidRPr="008D1B44">
        <w:t xml:space="preserve">the </w:t>
      </w:r>
      <w:r w:rsidR="00A904D2" w:rsidRPr="008D1B44">
        <w:t>quantitative</w:t>
      </w:r>
      <w:r w:rsidR="004831CC" w:rsidRPr="008D1B44">
        <w:t xml:space="preserve"> </w:t>
      </w:r>
      <w:r w:rsidRPr="008D1B44">
        <w:t xml:space="preserve">accuracy of the PhotonAssay measurements. After </w:t>
      </w:r>
      <w:r w:rsidR="008D1B44">
        <w:t>analysing</w:t>
      </w:r>
      <w:r w:rsidRPr="008D1B44">
        <w:t xml:space="preserve"> core pieces via PhotonAssay, the samples were pulverised and </w:t>
      </w:r>
      <w:r w:rsidR="008D1B44">
        <w:t>re-</w:t>
      </w:r>
      <w:r w:rsidRPr="008D1B44">
        <w:t>measured using fire-assay.</w:t>
      </w:r>
      <w:r w:rsidR="004831CC" w:rsidRPr="008D1B44">
        <w:t xml:space="preserve"> </w:t>
      </w:r>
      <w:r w:rsidR="00AC197E" w:rsidRPr="008D1B44">
        <w:t xml:space="preserve">As shown in Figure 11, the correlation of samples </w:t>
      </w:r>
      <w:r w:rsidRPr="008D1B44">
        <w:t xml:space="preserve">with grades above </w:t>
      </w:r>
      <w:r w:rsidR="00AC197E" w:rsidRPr="008D1B44">
        <w:t>0.2</w:t>
      </w:r>
      <w:r w:rsidRPr="008D1B44">
        <w:t xml:space="preserve"> </w:t>
      </w:r>
      <w:r w:rsidR="00AC197E" w:rsidRPr="008D1B44">
        <w:t xml:space="preserve">ppm is </w:t>
      </w:r>
      <w:r w:rsidR="00A904D2" w:rsidRPr="008D1B44">
        <w:t>99.9</w:t>
      </w:r>
      <w:r w:rsidR="005C31DE">
        <w:t xml:space="preserve"> percent</w:t>
      </w:r>
      <w:r w:rsidR="00AC197E" w:rsidRPr="008D1B44">
        <w:t xml:space="preserve">.  The difference in the values was </w:t>
      </w:r>
      <w:r w:rsidRPr="008D1B44">
        <w:t>consistent with the errors</w:t>
      </w:r>
      <w:r w:rsidR="00AC197E" w:rsidRPr="008D1B44">
        <w:t xml:space="preserve"> of the two </w:t>
      </w:r>
      <w:r w:rsidRPr="008D1B44">
        <w:t xml:space="preserve">assay </w:t>
      </w:r>
      <w:r w:rsidR="00AC197E" w:rsidRPr="008D1B44">
        <w:t>techniques</w:t>
      </w:r>
      <w:r w:rsidR="00A904D2" w:rsidRPr="008D1B44">
        <w:t xml:space="preserve"> and no bias was evident</w:t>
      </w:r>
      <w:r w:rsidR="00AC197E" w:rsidRPr="008D1B44">
        <w:t>.</w:t>
      </w:r>
    </w:p>
    <w:p w14:paraId="6A2165A5" w14:textId="0AC0E95F" w:rsidR="00AC197E" w:rsidRDefault="004675E8" w:rsidP="00AD1E92">
      <w:pPr>
        <w:pStyle w:val="BodyText"/>
        <w:jc w:val="center"/>
      </w:pPr>
      <w:r>
        <w:rPr>
          <w:noProof/>
        </w:rPr>
        <w:lastRenderedPageBreak/>
        <mc:AlternateContent>
          <mc:Choice Requires="wps">
            <w:drawing>
              <wp:anchor distT="0" distB="0" distL="114300" distR="114300" simplePos="0" relativeHeight="251662336" behindDoc="0" locked="0" layoutInCell="1" allowOverlap="1" wp14:anchorId="25C594FD" wp14:editId="310EFA9B">
                <wp:simplePos x="0" y="0"/>
                <wp:positionH relativeFrom="column">
                  <wp:posOffset>3884907</wp:posOffset>
                </wp:positionH>
                <wp:positionV relativeFrom="paragraph">
                  <wp:posOffset>680965</wp:posOffset>
                </wp:positionV>
                <wp:extent cx="1121308" cy="300351"/>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1121308" cy="300351"/>
                        </a:xfrm>
                        <a:prstGeom prst="rect">
                          <a:avLst/>
                        </a:prstGeom>
                        <a:solidFill>
                          <a:schemeClr val="lt1"/>
                        </a:solidFill>
                        <a:ln w="6350">
                          <a:noFill/>
                        </a:ln>
                      </wps:spPr>
                      <wps:txbx>
                        <w:txbxContent>
                          <w:p w14:paraId="17F5CC8B" w14:textId="686D41EE" w:rsidR="004675E8" w:rsidRPr="004675E8" w:rsidRDefault="004675E8">
                            <w:r>
                              <w:t>R</w:t>
                            </w:r>
                            <w:r>
                              <w:rPr>
                                <w:vertAlign w:val="superscript"/>
                              </w:rPr>
                              <w:t>2</w:t>
                            </w:r>
                            <w:r>
                              <w:t>=0.9988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C594FD" id="_x0000_t202" coordsize="21600,21600" o:spt="202" path="m,l,21600r21600,l21600,xe">
                <v:stroke joinstyle="miter"/>
                <v:path gradientshapeok="t" o:connecttype="rect"/>
              </v:shapetype>
              <v:shape id="Text Box 5" o:spid="_x0000_s1027" type="#_x0000_t202" style="position:absolute;left:0;text-align:left;margin-left:305.9pt;margin-top:53.6pt;width:88.3pt;height:23.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" fillcolor="white [3201]" stroked="f" strokeweight=".5pt">
                <v:textbox>
                  <w:txbxContent>
                    <w:p w14:paraId="17F5CC8B" w14:textId="686D41EE" w:rsidR="004675E8" w:rsidRPr="004675E8" w:rsidRDefault="004675E8">
                      <w:r>
                        <w:t>R</w:t>
                      </w:r>
                      <w:r>
                        <w:rPr>
                          <w:vertAlign w:val="superscript"/>
                        </w:rPr>
                        <w:t>2</w:t>
                      </w:r>
                      <w:r>
                        <w:t>=0.9988</w:t>
                      </w:r>
                    </w:p>
                  </w:txbxContent>
                </v:textbox>
              </v:shape>
            </w:pict>
          </mc:Fallback>
        </mc:AlternateContent>
      </w:r>
      <w:r w:rsidR="00CC5CB3">
        <w:rPr>
          <w:noProof/>
        </w:rPr>
        <w:drawing>
          <wp:inline distT="0" distB="0" distL="0" distR="0" wp14:anchorId="7B20CA45" wp14:editId="68A4FF3C">
            <wp:extent cx="6120130" cy="3106420"/>
            <wp:effectExtent l="0" t="0" r="13970" b="17780"/>
            <wp:docPr id="1" name="Chart 1">
              <a:extLst xmlns:a="http://schemas.openxmlformats.org/drawingml/2006/main">
                <a:ext uri="{FF2B5EF4-FFF2-40B4-BE49-F238E27FC236}">
                  <a16:creationId xmlns:a16="http://schemas.microsoft.com/office/drawing/2014/main" id="{23008DD2-9221-1F43-9B88-FB77DBD9C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7" w:name="_GoBack"/>
      <w:bookmarkEnd w:id="7"/>
    </w:p>
    <w:p w14:paraId="63FC0C5A" w14:textId="74BA749A" w:rsidR="00AC197E" w:rsidRDefault="00AC197E" w:rsidP="00AD1E92">
      <w:pPr>
        <w:pStyle w:val="Caption"/>
        <w:jc w:val="center"/>
      </w:pPr>
      <w:r>
        <w:t xml:space="preserve">Figure </w:t>
      </w:r>
      <w:r w:rsidR="00FE4A0B">
        <w:fldChar w:fldCharType="begin"/>
      </w:r>
      <w:r w:rsidR="00FE4A0B">
        <w:instrText xml:space="preserve"> SEQ Figure \* ARABIC </w:instrText>
      </w:r>
      <w:r w:rsidR="00FE4A0B">
        <w:fldChar w:fldCharType="separate"/>
      </w:r>
      <w:r>
        <w:rPr>
          <w:noProof/>
        </w:rPr>
        <w:t>11</w:t>
      </w:r>
      <w:r w:rsidR="00FE4A0B">
        <w:rPr>
          <w:noProof/>
        </w:rPr>
        <w:fldChar w:fldCharType="end"/>
      </w:r>
      <w:r>
        <w:t xml:space="preserve">: Plot of PhotonAssay gold values </w:t>
      </w:r>
      <w:r w:rsidR="00D67B26">
        <w:t>measured using</w:t>
      </w:r>
      <w:r>
        <w:t xml:space="preserve"> whole core pieces versus the gold concentration </w:t>
      </w:r>
      <w:r w:rsidR="00D67B26">
        <w:t xml:space="preserve">determined </w:t>
      </w:r>
      <w:r>
        <w:t>by fire</w:t>
      </w:r>
      <w:r w:rsidR="00D67B26">
        <w:t>-</w:t>
      </w:r>
      <w:r>
        <w:t xml:space="preserve">assay after the core is pulverised.  The blue line shows the linear correlation between the two techniques. The </w:t>
      </w:r>
      <w:r w:rsidR="00BA3E73">
        <w:t>gold</w:t>
      </w:r>
      <w:r>
        <w:t xml:space="preserve"> data points show the </w:t>
      </w:r>
      <w:r w:rsidR="00D67B26">
        <w:t xml:space="preserve">grade </w:t>
      </w:r>
      <w:r>
        <w:t>difference</w:t>
      </w:r>
      <w:r w:rsidR="00D67B26">
        <w:t xml:space="preserve"> between the two methods, indicating that no bias is present.</w:t>
      </w:r>
    </w:p>
    <w:p w14:paraId="4137D452" w14:textId="22687B10" w:rsidR="00255DA9" w:rsidRPr="00F80210" w:rsidRDefault="00255DA9" w:rsidP="00255DA9">
      <w:pPr>
        <w:pStyle w:val="Heading1"/>
      </w:pPr>
      <w:r w:rsidRPr="00F80210">
        <w:t xml:space="preserve">CONCLUSIONS </w:t>
      </w:r>
    </w:p>
    <w:p w14:paraId="00B172DF" w14:textId="4E0C18B8" w:rsidR="00D67B26" w:rsidRPr="00395A57" w:rsidRDefault="00E947D1" w:rsidP="00E11A97">
      <w:pPr>
        <w:pStyle w:val="BodyText"/>
        <w:jc w:val="both"/>
      </w:pPr>
      <w:r w:rsidRPr="00395A57">
        <w:t xml:space="preserve">PhotonAssay </w:t>
      </w:r>
      <w:r w:rsidR="00D67B26" w:rsidRPr="00395A57">
        <w:t>is a novel, high-energy X-ray method for gold analysis that provides fast, accurate</w:t>
      </w:r>
      <w:r w:rsidR="00395A57" w:rsidRPr="00395A57">
        <w:t>, fully automated</w:t>
      </w:r>
      <w:r w:rsidR="00D67B26" w:rsidRPr="00395A57">
        <w:t xml:space="preserve"> and non-destructive measurements on large ore samples.</w:t>
      </w:r>
      <w:r w:rsidR="00395A57" w:rsidRPr="00395A57">
        <w:t xml:space="preserve"> The method uses no chemical reagents and produces no waste.</w:t>
      </w:r>
    </w:p>
    <w:p w14:paraId="59426040" w14:textId="05DB9520" w:rsidR="00D67B26" w:rsidRPr="00395A57" w:rsidRDefault="00D67B26" w:rsidP="00E11A97">
      <w:pPr>
        <w:pStyle w:val="BodyText"/>
        <w:jc w:val="both"/>
      </w:pPr>
      <w:r w:rsidRPr="00395A57">
        <w:t xml:space="preserve">Performance testing on certified reference materials (CRMs) shows that the technique can accurately reproduce gold grades determined using traditional methods such as fire-assay. The method is insensitive to </w:t>
      </w:r>
      <w:r w:rsidR="00BA3E73">
        <w:t xml:space="preserve">most </w:t>
      </w:r>
      <w:r w:rsidRPr="00395A57">
        <w:t>ore matrix</w:t>
      </w:r>
      <w:r w:rsidR="00395A57">
        <w:t xml:space="preserve"> type</w:t>
      </w:r>
      <w:r w:rsidR="00BA3E73">
        <w:t>s</w:t>
      </w:r>
      <w:r w:rsidRPr="00395A57">
        <w:t xml:space="preserve"> and demonstrates excellent linearity over grades ranging from about 0.06 to more than 300 ppm. By reducing the </w:t>
      </w:r>
      <w:r w:rsidR="00395A57">
        <w:t xml:space="preserve">operating </w:t>
      </w:r>
      <w:r w:rsidRPr="00395A57">
        <w:t xml:space="preserve">X-ray power, measurements up to percent levels </w:t>
      </w:r>
      <w:r w:rsidR="00395A57">
        <w:t xml:space="preserve">(35,000 ppm) </w:t>
      </w:r>
      <w:r w:rsidRPr="00395A57">
        <w:t>of gold can be made.</w:t>
      </w:r>
    </w:p>
    <w:p w14:paraId="1EA8BFC4" w14:textId="50637F05" w:rsidR="00D67B26" w:rsidRPr="00395A57" w:rsidRDefault="00D67B26" w:rsidP="00E11A97">
      <w:pPr>
        <w:pStyle w:val="BodyText"/>
        <w:jc w:val="both"/>
      </w:pPr>
      <w:r w:rsidRPr="00395A57">
        <w:t xml:space="preserve">Extensive testing on real ores provided by more than 20 companies </w:t>
      </w:r>
      <w:r w:rsidR="00395A57" w:rsidRPr="00395A57">
        <w:t>shows that PhotonAssay produces results that are consistent and interchangeable with those from fire-assay. The method has been ISO/NATA certified, and grade results have been included in JORC and NI43-101 compliant reports.</w:t>
      </w:r>
    </w:p>
    <w:p w14:paraId="140CC4AD" w14:textId="136236AD" w:rsidR="00395A57" w:rsidRPr="00395A57" w:rsidRDefault="00395A57" w:rsidP="00E11A97">
      <w:pPr>
        <w:pStyle w:val="BodyText"/>
        <w:jc w:val="both"/>
      </w:pPr>
      <w:r w:rsidRPr="00395A57">
        <w:t xml:space="preserve">For ore deposits with fine gold dissemination, the large sample size allows accurate results to be obtained with minimal sample preparation, namely crushing to a top-size of 2-3 mm. For deposits with a higher fraction of coarse gold, it is preferable to pulverise the sample to a top-size of 75 </w:t>
      </w:r>
      <w:r w:rsidR="00D873C6">
        <w:rPr>
          <w:rFonts w:cs="Arial"/>
        </w:rPr>
        <w:t xml:space="preserve">µm </w:t>
      </w:r>
      <w:r w:rsidRPr="00395A57">
        <w:t xml:space="preserve">before drawing the assay aliquot. For such difficult-to-sample ores, PhotonAssay produces results that are significantly </w:t>
      </w:r>
      <w:r w:rsidR="00BA3E73">
        <w:t>more precise</w:t>
      </w:r>
      <w:r w:rsidRPr="00395A57">
        <w:t xml:space="preserve"> than those obtained using a traditional 25-50 g fire-assay analysis. In th</w:t>
      </w:r>
      <w:r w:rsidR="001A1451">
        <w:t>e</w:t>
      </w:r>
      <w:r w:rsidRPr="00395A57">
        <w:t>s</w:t>
      </w:r>
      <w:r w:rsidR="001A1451">
        <w:t>e</w:t>
      </w:r>
      <w:r w:rsidRPr="00395A57">
        <w:t xml:space="preserve"> case</w:t>
      </w:r>
      <w:r w:rsidR="001A1451">
        <w:t>s</w:t>
      </w:r>
      <w:r w:rsidRPr="00395A57">
        <w:t xml:space="preserve">, PhotonAssay results compare better with </w:t>
      </w:r>
      <w:r w:rsidR="00BA3E73">
        <w:t>gold concentrations</w:t>
      </w:r>
      <w:r w:rsidR="001A1451">
        <w:t xml:space="preserve"> obtained using </w:t>
      </w:r>
      <w:r w:rsidRPr="00395A57">
        <w:t>screen fire-assay, but with significantly lower costs and faster turn-around times.</w:t>
      </w:r>
    </w:p>
    <w:p w14:paraId="0F6C3835" w14:textId="46377028" w:rsidR="00395A57" w:rsidRPr="00395A57" w:rsidRDefault="00395A57" w:rsidP="00E11A97">
      <w:pPr>
        <w:pStyle w:val="BodyText"/>
        <w:jc w:val="both"/>
      </w:pPr>
      <w:r w:rsidRPr="00395A57">
        <w:t xml:space="preserve">The non-destructive nature of the analysis allows for novel applications, including the preparation of calibrated rock samples for ore-sorting. </w:t>
      </w:r>
    </w:p>
    <w:p w14:paraId="47EBD07C" w14:textId="6BDAE00A" w:rsidR="00255DA9" w:rsidRPr="00F80210" w:rsidRDefault="00255DA9" w:rsidP="00255DA9">
      <w:pPr>
        <w:pStyle w:val="Heading1"/>
      </w:pPr>
      <w:r w:rsidRPr="00F80210">
        <w:t xml:space="preserve">ACKNOWLEDGEMENTS </w:t>
      </w:r>
    </w:p>
    <w:p w14:paraId="0C6524AA" w14:textId="59059773" w:rsidR="008D1B44" w:rsidRPr="008D1B44" w:rsidRDefault="008D1B44" w:rsidP="00E11A97">
      <w:pPr>
        <w:pStyle w:val="BodyText"/>
        <w:jc w:val="both"/>
      </w:pPr>
      <w:r>
        <w:t xml:space="preserve">The authors would like to gratefully acknowledge the </w:t>
      </w:r>
      <w:r w:rsidR="007D0D25">
        <w:t xml:space="preserve">support of staff at </w:t>
      </w:r>
      <w:proofErr w:type="spellStart"/>
      <w:r w:rsidR="00D873C6">
        <w:t>Ausdrill</w:t>
      </w:r>
      <w:proofErr w:type="spellEnd"/>
      <w:r w:rsidR="00E11A97">
        <w:t xml:space="preserve"> </w:t>
      </w:r>
      <w:r w:rsidR="00D873C6">
        <w:t xml:space="preserve">Limited, </w:t>
      </w:r>
      <w:proofErr w:type="spellStart"/>
      <w:r w:rsidR="007D0D25">
        <w:t>MinAnalytical</w:t>
      </w:r>
      <w:proofErr w:type="spellEnd"/>
      <w:r w:rsidR="007D0D25">
        <w:t xml:space="preserve"> Laboratory Services and Chrysos Corporation for their help in setting up and running the trials described in this paper. We would also like to thank the numerous Australian and international companies that provided the samples and reference materials used in this study.</w:t>
      </w:r>
    </w:p>
    <w:p w14:paraId="784EF531" w14:textId="77777777" w:rsidR="00A13B9C" w:rsidRDefault="00A13B9C">
      <w:pPr>
        <w:rPr>
          <w:rFonts w:cs="Arial"/>
          <w:b/>
          <w:bCs/>
          <w:caps/>
          <w:sz w:val="26"/>
          <w:szCs w:val="32"/>
        </w:rPr>
      </w:pPr>
      <w:r>
        <w:br w:type="page"/>
      </w:r>
    </w:p>
    <w:p w14:paraId="3BC1E24D" w14:textId="282A42BC" w:rsidR="00255DA9" w:rsidRDefault="00255DA9" w:rsidP="00255DA9">
      <w:pPr>
        <w:pStyle w:val="Heading1"/>
      </w:pPr>
      <w:r w:rsidRPr="00F80210">
        <w:lastRenderedPageBreak/>
        <w:t xml:space="preserve">REFERENCES </w:t>
      </w:r>
    </w:p>
    <w:p w14:paraId="538C7AB6" w14:textId="77777777" w:rsidR="00441774" w:rsidRDefault="00441774" w:rsidP="00441774">
      <w:pPr>
        <w:pStyle w:val="BodyText"/>
      </w:pPr>
      <w:r>
        <w:t>François-</w:t>
      </w:r>
      <w:proofErr w:type="spellStart"/>
      <w:r>
        <w:t>Bongarçon</w:t>
      </w:r>
      <w:proofErr w:type="spellEnd"/>
      <w:r>
        <w:t>, D. “Sampling in the Mining Industry Theory and Practice”, Volume1: Course Notes, University of Witwatersrand, 1995</w:t>
      </w:r>
    </w:p>
    <w:p w14:paraId="38C6A8B9" w14:textId="77777777" w:rsidR="00441774" w:rsidRDefault="00441774" w:rsidP="00441774">
      <w:pPr>
        <w:pStyle w:val="BodyText"/>
      </w:pPr>
      <w:r>
        <w:t>François-</w:t>
      </w:r>
      <w:proofErr w:type="spellStart"/>
      <w:r>
        <w:t>Bongarçon</w:t>
      </w:r>
      <w:proofErr w:type="spellEnd"/>
      <w:r>
        <w:t xml:space="preserve">, D. and </w:t>
      </w:r>
      <w:proofErr w:type="spellStart"/>
      <w:r>
        <w:t>Gy</w:t>
      </w:r>
      <w:proofErr w:type="spellEnd"/>
      <w:r>
        <w:t xml:space="preserve"> P.M. “The most common error in applying ‘</w:t>
      </w:r>
      <w:proofErr w:type="spellStart"/>
      <w:r>
        <w:t>Gy’s</w:t>
      </w:r>
      <w:proofErr w:type="spellEnd"/>
      <w:r>
        <w:t xml:space="preserve"> Formula’ in the theory of mineral sampling, and the history of the liberation factor” JSAIMM, 2002, 102, p475-480</w:t>
      </w:r>
    </w:p>
    <w:p w14:paraId="132A3DD9" w14:textId="77777777" w:rsidR="00441774" w:rsidRDefault="00441774" w:rsidP="00441774">
      <w:pPr>
        <w:pStyle w:val="BodyText"/>
      </w:pPr>
      <w:proofErr w:type="spellStart"/>
      <w:r>
        <w:t>Gy</w:t>
      </w:r>
      <w:proofErr w:type="spellEnd"/>
      <w:r>
        <w:t>, P.M. “The sampling of broken ores--A review of principles and practice”, Geological, Mining, and Metallurgical Sapling, 1973, p194-205</w:t>
      </w:r>
    </w:p>
    <w:p w14:paraId="7409669A" w14:textId="6E8E41AD" w:rsidR="00115B4E" w:rsidRPr="00115B4E" w:rsidRDefault="00115B4E" w:rsidP="00115B4E">
      <w:pPr>
        <w:pStyle w:val="BodyText"/>
      </w:pPr>
      <w:proofErr w:type="spellStart"/>
      <w:r w:rsidRPr="00115B4E">
        <w:t>Kleine</w:t>
      </w:r>
      <w:proofErr w:type="spellEnd"/>
      <w:r w:rsidRPr="00115B4E">
        <w:t xml:space="preserve">, C. </w:t>
      </w:r>
      <w:r w:rsidR="00783289">
        <w:t xml:space="preserve">et. al. </w:t>
      </w:r>
      <w:r w:rsidRPr="00115B4E">
        <w:t xml:space="preserve"> </w:t>
      </w:r>
      <w:r w:rsidR="00783289">
        <w:t>“</w:t>
      </w:r>
      <w:r w:rsidRPr="00115B4E">
        <w:t>XRT sorting of massive quartz sulphide type gold ore</w:t>
      </w:r>
      <w:r w:rsidRPr="00115B4E">
        <w:rPr>
          <w:i/>
          <w:iCs/>
        </w:rPr>
        <w:t>.</w:t>
      </w:r>
      <w:r w:rsidR="00783289">
        <w:rPr>
          <w:i/>
          <w:iCs/>
        </w:rPr>
        <w:t>”</w:t>
      </w:r>
      <w:r w:rsidRPr="00115B4E">
        <w:rPr>
          <w:i/>
          <w:iCs/>
        </w:rPr>
        <w:t xml:space="preserve"> International Conference on Sensor Based Sorting</w:t>
      </w:r>
      <w:r w:rsidR="00783289">
        <w:rPr>
          <w:iCs/>
        </w:rPr>
        <w:t>, 2010</w:t>
      </w:r>
    </w:p>
    <w:p w14:paraId="4409555A" w14:textId="77777777" w:rsidR="00441774" w:rsidRDefault="00441774" w:rsidP="00441774">
      <w:pPr>
        <w:pStyle w:val="BodyText"/>
      </w:pPr>
      <w:r>
        <w:t>Lyman, G. J. “Theory of Sampling”, WCSB Sampling, 2011, p1-21</w:t>
      </w:r>
    </w:p>
    <w:p w14:paraId="16A81327" w14:textId="354F5BF3" w:rsidR="00441774" w:rsidRDefault="00441774" w:rsidP="00441774">
      <w:pPr>
        <w:pStyle w:val="BodyText"/>
      </w:pPr>
      <w:r>
        <w:t>Lyman, G. J., Ro</w:t>
      </w:r>
      <w:r w:rsidR="00CC5CB3">
        <w:t>b</w:t>
      </w:r>
      <w:r>
        <w:t>ertson, I. G., and Day T. “The Simple Facts about Sampling Gold Ores” AUSIMM Operators’ Conference, 2016, p1-14</w:t>
      </w:r>
    </w:p>
    <w:p w14:paraId="3E037B4E" w14:textId="68531738" w:rsidR="00441774" w:rsidRDefault="00441774" w:rsidP="00441774">
      <w:pPr>
        <w:pStyle w:val="BodyText"/>
      </w:pPr>
      <w:proofErr w:type="spellStart"/>
      <w:r>
        <w:t>Min</w:t>
      </w:r>
      <w:r w:rsidR="00760C03">
        <w:t>n</w:t>
      </w:r>
      <w:r>
        <w:t>itt</w:t>
      </w:r>
      <w:proofErr w:type="spellEnd"/>
      <w:r>
        <w:t>, R.C.A, Rice, P.M., and Spangenberg, C. “Part 1: Understanding the components of the fundamental sampling error: a key to good sampling practice”, JSAIMM, 2007</w:t>
      </w:r>
      <w:r w:rsidR="00760C03">
        <w:t>a</w:t>
      </w:r>
      <w:r>
        <w:t>, 107, p505-511</w:t>
      </w:r>
    </w:p>
    <w:p w14:paraId="1D6097E7" w14:textId="56AEAE63" w:rsidR="00441774" w:rsidRDefault="00441774" w:rsidP="00441774">
      <w:pPr>
        <w:pStyle w:val="BodyText"/>
      </w:pPr>
      <w:proofErr w:type="spellStart"/>
      <w:r>
        <w:t>Min</w:t>
      </w:r>
      <w:r w:rsidR="00760C03">
        <w:t>n</w:t>
      </w:r>
      <w:r>
        <w:t>itt</w:t>
      </w:r>
      <w:proofErr w:type="spellEnd"/>
      <w:r>
        <w:t xml:space="preserve">, R.C.A, Rice, P.M., and Spangenberg, C. “Part 2: Experimental calibration of sampling parameters K and alpha for </w:t>
      </w:r>
      <w:proofErr w:type="spellStart"/>
      <w:r>
        <w:t>Gy’s</w:t>
      </w:r>
      <w:proofErr w:type="spellEnd"/>
      <w:r>
        <w:t xml:space="preserve"> formula by the sampling tree method”, JSAIMM, 2007</w:t>
      </w:r>
      <w:r w:rsidR="00760C03">
        <w:t>b</w:t>
      </w:r>
      <w:r>
        <w:t>, 107, p513-518</w:t>
      </w:r>
    </w:p>
    <w:p w14:paraId="0E80C3E1" w14:textId="77777777" w:rsidR="00441774" w:rsidRDefault="00441774" w:rsidP="00441774">
      <w:pPr>
        <w:pStyle w:val="BodyText"/>
      </w:pPr>
      <w:proofErr w:type="spellStart"/>
      <w:r>
        <w:t>Minnitt</w:t>
      </w:r>
      <w:proofErr w:type="spellEnd"/>
      <w:r>
        <w:t xml:space="preserve">, R.C.A and </w:t>
      </w:r>
      <w:proofErr w:type="spellStart"/>
      <w:r>
        <w:t>Assibey</w:t>
      </w:r>
      <w:proofErr w:type="spellEnd"/>
      <w:r>
        <w:t>-Bonsu, W. “A comparison between the duplicate series analysis method and the heterogeneity test as methods for calculating sampling constants, K and alpha” JSAIMM, 2010, 110, p251-268</w:t>
      </w:r>
    </w:p>
    <w:p w14:paraId="57594B3A" w14:textId="7A6F1B76" w:rsidR="00441774" w:rsidRPr="00441774" w:rsidRDefault="00441774" w:rsidP="00441774">
      <w:pPr>
        <w:pStyle w:val="BodyText"/>
      </w:pPr>
      <w:r>
        <w:t xml:space="preserve">J. Tickner, B. </w:t>
      </w:r>
      <w:proofErr w:type="spellStart"/>
      <w:r>
        <w:t>Ganly</w:t>
      </w:r>
      <w:proofErr w:type="spellEnd"/>
      <w:r>
        <w:t xml:space="preserve">, B. </w:t>
      </w:r>
      <w:proofErr w:type="spellStart"/>
      <w:r>
        <w:t>Lovric</w:t>
      </w:r>
      <w:proofErr w:type="spellEnd"/>
      <w:r>
        <w:t xml:space="preserve">, J. O'Dwyer (2017). </w:t>
      </w:r>
      <w:r w:rsidR="002E400E">
        <w:t>“</w:t>
      </w:r>
      <w:r>
        <w:t>Improving the sensitivity and accuracy of gamma activation analysis for</w:t>
      </w:r>
      <w:r w:rsidR="002E400E">
        <w:t xml:space="preserve"> Gold”</w:t>
      </w:r>
      <w:r w:rsidR="00E11A97">
        <w:t xml:space="preserve">, </w:t>
      </w:r>
      <w:r w:rsidR="00E11A97" w:rsidRPr="00E11A97">
        <w:t>Applied Radiation and Isotopes 122 (2017) 28–36</w:t>
      </w:r>
    </w:p>
    <w:sectPr w:rsidR="00441774" w:rsidRPr="00441774" w:rsidSect="001442A4">
      <w:footerReference w:type="default" r:id="rId22"/>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72A60" w14:textId="77777777" w:rsidR="00FE4A0B" w:rsidRDefault="00FE4A0B">
      <w:r>
        <w:separator/>
      </w:r>
    </w:p>
  </w:endnote>
  <w:endnote w:type="continuationSeparator" w:id="0">
    <w:p w14:paraId="1DDCCE4C" w14:textId="77777777" w:rsidR="00FE4A0B" w:rsidRDefault="00FE4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770CF" w14:textId="77777777" w:rsidR="00770400" w:rsidRDefault="00770400" w:rsidP="00F80210">
    <w:pPr>
      <w:pStyle w:val="BodyText"/>
    </w:pPr>
    <w:r w:rsidRPr="00F80210">
      <w:fldChar w:fldCharType="begin"/>
    </w:r>
    <w:r w:rsidRPr="00F80210">
      <w:instrText xml:space="preserve"> PAGE   \* MERGEFORMAT </w:instrText>
    </w:r>
    <w:r w:rsidRPr="00F80210">
      <w:fldChar w:fldCharType="separate"/>
    </w:r>
    <w:r>
      <w:rPr>
        <w:noProof/>
      </w:rPr>
      <w:t>3</w:t>
    </w:r>
    <w:r w:rsidRPr="00F8021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8143F" w14:textId="77777777" w:rsidR="00FE4A0B" w:rsidRDefault="00FE4A0B">
      <w:r>
        <w:separator/>
      </w:r>
    </w:p>
  </w:footnote>
  <w:footnote w:type="continuationSeparator" w:id="0">
    <w:p w14:paraId="317D7B25" w14:textId="77777777" w:rsidR="00FE4A0B" w:rsidRDefault="00FE4A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3241E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DE56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4C49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E685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90D5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9AFA5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E87E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8402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FEF8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214A3"/>
    <w:multiLevelType w:val="hybridMultilevel"/>
    <w:tmpl w:val="CAFCD17C"/>
    <w:lvl w:ilvl="0" w:tplc="1AE87FE6">
      <w:start w:val="1"/>
      <w:numFmt w:val="bullet"/>
      <w:pStyle w:val="TablebulletLEF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3E3F9B"/>
    <w:multiLevelType w:val="hybridMultilevel"/>
    <w:tmpl w:val="57FE13DE"/>
    <w:lvl w:ilvl="0" w:tplc="92E4D1B6">
      <w:start w:val="1"/>
      <w:numFmt w:val="bullet"/>
      <w:pStyle w:val="Bullets1"/>
      <w:lvlText w:val=""/>
      <w:lvlJc w:val="left"/>
      <w:pPr>
        <w:ind w:left="644" w:hanging="360"/>
      </w:pPr>
      <w:rPr>
        <w:rFonts w:ascii="Symbol" w:hAnsi="Symbol" w:hint="default"/>
      </w:rPr>
    </w:lvl>
    <w:lvl w:ilvl="1" w:tplc="4A805D2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D27697"/>
    <w:multiLevelType w:val="hybridMultilevel"/>
    <w:tmpl w:val="1854AC5A"/>
    <w:lvl w:ilvl="0" w:tplc="9BAA6876">
      <w:start w:val="1"/>
      <w:numFmt w:val="decimal"/>
      <w:pStyle w:val="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23B244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BE01AE5"/>
    <w:multiLevelType w:val="hybridMultilevel"/>
    <w:tmpl w:val="1514FE7A"/>
    <w:lvl w:ilvl="0" w:tplc="7BFE4EA8">
      <w:start w:val="1"/>
      <w:numFmt w:val="bullet"/>
      <w:pStyle w:val="Bullets2"/>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60"/>
    <w:rsid w:val="000137B1"/>
    <w:rsid w:val="00015ECB"/>
    <w:rsid w:val="000271F1"/>
    <w:rsid w:val="00027D05"/>
    <w:rsid w:val="0005380A"/>
    <w:rsid w:val="000539D9"/>
    <w:rsid w:val="00056228"/>
    <w:rsid w:val="000576B3"/>
    <w:rsid w:val="00062C4C"/>
    <w:rsid w:val="00070BF9"/>
    <w:rsid w:val="00071A4E"/>
    <w:rsid w:val="00071B94"/>
    <w:rsid w:val="00072BF5"/>
    <w:rsid w:val="00076C77"/>
    <w:rsid w:val="000847EA"/>
    <w:rsid w:val="0008493B"/>
    <w:rsid w:val="00087503"/>
    <w:rsid w:val="00090461"/>
    <w:rsid w:val="00090571"/>
    <w:rsid w:val="00092703"/>
    <w:rsid w:val="000A07D4"/>
    <w:rsid w:val="000A3E3D"/>
    <w:rsid w:val="000A7CFA"/>
    <w:rsid w:val="000B09C1"/>
    <w:rsid w:val="000B7911"/>
    <w:rsid w:val="000F4F51"/>
    <w:rsid w:val="000F7BEB"/>
    <w:rsid w:val="00115B4E"/>
    <w:rsid w:val="0012093E"/>
    <w:rsid w:val="00122F7D"/>
    <w:rsid w:val="0013173A"/>
    <w:rsid w:val="001442A4"/>
    <w:rsid w:val="0015069E"/>
    <w:rsid w:val="00152960"/>
    <w:rsid w:val="00191C29"/>
    <w:rsid w:val="001949C2"/>
    <w:rsid w:val="001A1451"/>
    <w:rsid w:val="001A66CB"/>
    <w:rsid w:val="001B2582"/>
    <w:rsid w:val="001B29A1"/>
    <w:rsid w:val="001C5614"/>
    <w:rsid w:val="001D3AC3"/>
    <w:rsid w:val="001E0D42"/>
    <w:rsid w:val="001E5E47"/>
    <w:rsid w:val="001E668F"/>
    <w:rsid w:val="0020661E"/>
    <w:rsid w:val="00223EDD"/>
    <w:rsid w:val="00235864"/>
    <w:rsid w:val="0024471A"/>
    <w:rsid w:val="0024648B"/>
    <w:rsid w:val="00254B82"/>
    <w:rsid w:val="00254DC0"/>
    <w:rsid w:val="00255DA9"/>
    <w:rsid w:val="002576A5"/>
    <w:rsid w:val="00261226"/>
    <w:rsid w:val="00266688"/>
    <w:rsid w:val="002A4698"/>
    <w:rsid w:val="002B6CE6"/>
    <w:rsid w:val="002C263B"/>
    <w:rsid w:val="002C4BD0"/>
    <w:rsid w:val="002D6A0A"/>
    <w:rsid w:val="002E400E"/>
    <w:rsid w:val="002F67B8"/>
    <w:rsid w:val="00311704"/>
    <w:rsid w:val="00315E20"/>
    <w:rsid w:val="00316411"/>
    <w:rsid w:val="0031798F"/>
    <w:rsid w:val="00347EA6"/>
    <w:rsid w:val="0035357C"/>
    <w:rsid w:val="0035381A"/>
    <w:rsid w:val="0036604D"/>
    <w:rsid w:val="00374A58"/>
    <w:rsid w:val="0038184B"/>
    <w:rsid w:val="00395A57"/>
    <w:rsid w:val="003C0C54"/>
    <w:rsid w:val="003D0D25"/>
    <w:rsid w:val="003F7E8C"/>
    <w:rsid w:val="00400B42"/>
    <w:rsid w:val="00404564"/>
    <w:rsid w:val="00406F81"/>
    <w:rsid w:val="00412FAA"/>
    <w:rsid w:val="00414D57"/>
    <w:rsid w:val="0041600C"/>
    <w:rsid w:val="0043582B"/>
    <w:rsid w:val="00441774"/>
    <w:rsid w:val="00445CED"/>
    <w:rsid w:val="0045643E"/>
    <w:rsid w:val="004675E8"/>
    <w:rsid w:val="0048112F"/>
    <w:rsid w:val="004831CC"/>
    <w:rsid w:val="00492847"/>
    <w:rsid w:val="004D4DC3"/>
    <w:rsid w:val="004E148E"/>
    <w:rsid w:val="004E2D81"/>
    <w:rsid w:val="004E6DBA"/>
    <w:rsid w:val="004E7AD0"/>
    <w:rsid w:val="005055EC"/>
    <w:rsid w:val="00517B90"/>
    <w:rsid w:val="0052016E"/>
    <w:rsid w:val="005246DC"/>
    <w:rsid w:val="00526379"/>
    <w:rsid w:val="00551CAC"/>
    <w:rsid w:val="0057350C"/>
    <w:rsid w:val="00582923"/>
    <w:rsid w:val="005833A5"/>
    <w:rsid w:val="00583C17"/>
    <w:rsid w:val="00590432"/>
    <w:rsid w:val="005C31DE"/>
    <w:rsid w:val="005D444A"/>
    <w:rsid w:val="005D4CA1"/>
    <w:rsid w:val="005E2871"/>
    <w:rsid w:val="005E76A9"/>
    <w:rsid w:val="005F4339"/>
    <w:rsid w:val="005F56C3"/>
    <w:rsid w:val="00600101"/>
    <w:rsid w:val="00612D5E"/>
    <w:rsid w:val="00625F99"/>
    <w:rsid w:val="00647198"/>
    <w:rsid w:val="006515E9"/>
    <w:rsid w:val="00652406"/>
    <w:rsid w:val="0066560B"/>
    <w:rsid w:val="00693B5F"/>
    <w:rsid w:val="006A432D"/>
    <w:rsid w:val="006A70BB"/>
    <w:rsid w:val="006A777E"/>
    <w:rsid w:val="006C5D98"/>
    <w:rsid w:val="006D548A"/>
    <w:rsid w:val="006F6DB4"/>
    <w:rsid w:val="00710A5A"/>
    <w:rsid w:val="007216E3"/>
    <w:rsid w:val="00760C03"/>
    <w:rsid w:val="00762921"/>
    <w:rsid w:val="00770400"/>
    <w:rsid w:val="00783289"/>
    <w:rsid w:val="007857CC"/>
    <w:rsid w:val="007960CB"/>
    <w:rsid w:val="007C2D86"/>
    <w:rsid w:val="007C2EAD"/>
    <w:rsid w:val="007C2F06"/>
    <w:rsid w:val="007D0D25"/>
    <w:rsid w:val="008238DA"/>
    <w:rsid w:val="00836A79"/>
    <w:rsid w:val="00842EB0"/>
    <w:rsid w:val="00850D8F"/>
    <w:rsid w:val="00852BA6"/>
    <w:rsid w:val="0085578F"/>
    <w:rsid w:val="0088273E"/>
    <w:rsid w:val="00883864"/>
    <w:rsid w:val="00896A0A"/>
    <w:rsid w:val="00897E76"/>
    <w:rsid w:val="008D1B44"/>
    <w:rsid w:val="008D60B5"/>
    <w:rsid w:val="008E072B"/>
    <w:rsid w:val="008E2DAA"/>
    <w:rsid w:val="008F0BEC"/>
    <w:rsid w:val="00910AED"/>
    <w:rsid w:val="0091648E"/>
    <w:rsid w:val="0091768B"/>
    <w:rsid w:val="00924529"/>
    <w:rsid w:val="0092645D"/>
    <w:rsid w:val="00931A22"/>
    <w:rsid w:val="0096203F"/>
    <w:rsid w:val="00967A00"/>
    <w:rsid w:val="00967BED"/>
    <w:rsid w:val="00971E82"/>
    <w:rsid w:val="00976B97"/>
    <w:rsid w:val="00983841"/>
    <w:rsid w:val="009963AB"/>
    <w:rsid w:val="009B0F42"/>
    <w:rsid w:val="009B416D"/>
    <w:rsid w:val="009D305A"/>
    <w:rsid w:val="009D75D4"/>
    <w:rsid w:val="009E0640"/>
    <w:rsid w:val="009F64E5"/>
    <w:rsid w:val="00A01023"/>
    <w:rsid w:val="00A0398A"/>
    <w:rsid w:val="00A13B9C"/>
    <w:rsid w:val="00A42DDA"/>
    <w:rsid w:val="00A46C5E"/>
    <w:rsid w:val="00A57586"/>
    <w:rsid w:val="00A763CD"/>
    <w:rsid w:val="00A77CF1"/>
    <w:rsid w:val="00A904D2"/>
    <w:rsid w:val="00AA194E"/>
    <w:rsid w:val="00AA4B74"/>
    <w:rsid w:val="00AC197E"/>
    <w:rsid w:val="00AC4960"/>
    <w:rsid w:val="00AD1E92"/>
    <w:rsid w:val="00AD3D46"/>
    <w:rsid w:val="00AF0222"/>
    <w:rsid w:val="00AF325B"/>
    <w:rsid w:val="00B11B06"/>
    <w:rsid w:val="00B26486"/>
    <w:rsid w:val="00B31188"/>
    <w:rsid w:val="00B332E9"/>
    <w:rsid w:val="00B34BF5"/>
    <w:rsid w:val="00B628F5"/>
    <w:rsid w:val="00B6294C"/>
    <w:rsid w:val="00B65B44"/>
    <w:rsid w:val="00B66294"/>
    <w:rsid w:val="00B676F5"/>
    <w:rsid w:val="00B933F6"/>
    <w:rsid w:val="00BA3E73"/>
    <w:rsid w:val="00BA69FB"/>
    <w:rsid w:val="00BD1080"/>
    <w:rsid w:val="00BD5800"/>
    <w:rsid w:val="00BD6A05"/>
    <w:rsid w:val="00BE78F9"/>
    <w:rsid w:val="00C07B1C"/>
    <w:rsid w:val="00C11A2F"/>
    <w:rsid w:val="00C169DA"/>
    <w:rsid w:val="00C17C76"/>
    <w:rsid w:val="00C46A6D"/>
    <w:rsid w:val="00C674F0"/>
    <w:rsid w:val="00C94547"/>
    <w:rsid w:val="00C96F52"/>
    <w:rsid w:val="00CA24C7"/>
    <w:rsid w:val="00CA36DC"/>
    <w:rsid w:val="00CB4763"/>
    <w:rsid w:val="00CC5CB3"/>
    <w:rsid w:val="00CC780B"/>
    <w:rsid w:val="00CF3762"/>
    <w:rsid w:val="00D07440"/>
    <w:rsid w:val="00D1585E"/>
    <w:rsid w:val="00D20437"/>
    <w:rsid w:val="00D61259"/>
    <w:rsid w:val="00D6226A"/>
    <w:rsid w:val="00D67B26"/>
    <w:rsid w:val="00D752DE"/>
    <w:rsid w:val="00D771CD"/>
    <w:rsid w:val="00D873C6"/>
    <w:rsid w:val="00DA7D33"/>
    <w:rsid w:val="00DD17A6"/>
    <w:rsid w:val="00DD408D"/>
    <w:rsid w:val="00DD775E"/>
    <w:rsid w:val="00DE1224"/>
    <w:rsid w:val="00DE631A"/>
    <w:rsid w:val="00DF00D1"/>
    <w:rsid w:val="00DF1266"/>
    <w:rsid w:val="00E005BD"/>
    <w:rsid w:val="00E11A97"/>
    <w:rsid w:val="00E2116F"/>
    <w:rsid w:val="00E242F3"/>
    <w:rsid w:val="00E24E50"/>
    <w:rsid w:val="00E340E4"/>
    <w:rsid w:val="00E64D31"/>
    <w:rsid w:val="00E66852"/>
    <w:rsid w:val="00E7096B"/>
    <w:rsid w:val="00E943BE"/>
    <w:rsid w:val="00E947D1"/>
    <w:rsid w:val="00EA78A6"/>
    <w:rsid w:val="00EC07FC"/>
    <w:rsid w:val="00ED3888"/>
    <w:rsid w:val="00EF0F2E"/>
    <w:rsid w:val="00F0738E"/>
    <w:rsid w:val="00F1625F"/>
    <w:rsid w:val="00F2432C"/>
    <w:rsid w:val="00F2758B"/>
    <w:rsid w:val="00F278F9"/>
    <w:rsid w:val="00F50771"/>
    <w:rsid w:val="00F73684"/>
    <w:rsid w:val="00F80210"/>
    <w:rsid w:val="00F80683"/>
    <w:rsid w:val="00F809A3"/>
    <w:rsid w:val="00FA05BF"/>
    <w:rsid w:val="00FB5108"/>
    <w:rsid w:val="00FC2A87"/>
    <w:rsid w:val="00FC3636"/>
    <w:rsid w:val="00FD37E3"/>
    <w:rsid w:val="00FE4A0B"/>
    <w:rsid w:val="00FE59FE"/>
    <w:rsid w:val="00FE66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4B72F"/>
  <w15:chartTrackingRefBased/>
  <w15:docId w15:val="{AD4F9F1D-3590-4421-9FFC-51AB23959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AU" w:eastAsia="en-AU" w:bidi="ar-SA"/>
      </w:rPr>
    </w:rPrDefault>
    <w:pPrDefault/>
  </w:docDefaults>
  <w:latentStyles w:defLockedState="1" w:defUIPriority="49" w:defSemiHidden="0" w:defUnhideWhenUsed="0" w:defQFormat="0" w:count="376">
    <w:lsdException w:name="Normal" w:locked="0" w:uiPriority="0"/>
    <w:lsdException w:name="heading 1" w:locked="0" w:uiPriority="0" w:qFormat="1"/>
    <w:lsdException w:name="heading 2" w:locked="0" w:uiPriority="0" w:qFormat="1"/>
    <w:lsdException w:name="heading 3" w:locked="0" w:uiPriority="0" w:qFormat="1"/>
    <w:lsdException w:name="heading 4" w:locked="0" w:uiPriority="0"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locked="0" w:uiPriority="0"/>
    <w:lsdException w:name="footer" w:locked="0" w:uiPriority="99"/>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0" w:qFormat="1"/>
    <w:lsdException w:name="Closing" w:semiHidden="1"/>
    <w:lsdException w:name="Signature" w:semiHidden="1"/>
    <w:lsdException w:name="Default Paragraph Font" w:locked="0" w:uiPriority="0"/>
    <w:lsdException w:name="Body Text" w:locked="0"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locked="0" w:uiPriority="0"/>
    <w:lsdException w:name="HTML Bottom of Form" w:locked="0" w:uiPriority="0"/>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locked="0" w:semiHidden="1" w:uiPriority="0" w:unhideWhenUsed="1"/>
    <w:lsdException w:name="annotation subject" w:semiHidden="1"/>
    <w:lsdException w:name="No List" w:locked="0" w:uiPriority="0"/>
    <w:lsdException w:name="Outline List 1" w:uiPriority="0"/>
    <w:lsdException w:name="Outline List 2" w:uiPriority="0"/>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locked="0" w:uiPriority="0"/>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semiHidden/>
    <w:rsid w:val="00BD6A05"/>
    <w:rPr>
      <w:sz w:val="24"/>
      <w:szCs w:val="24"/>
    </w:rPr>
  </w:style>
  <w:style w:type="paragraph" w:styleId="Heading1">
    <w:name w:val="heading 1"/>
    <w:basedOn w:val="BodyText"/>
    <w:next w:val="BodyText"/>
    <w:qFormat/>
    <w:rsid w:val="001E0D42"/>
    <w:pPr>
      <w:keepNext/>
      <w:keepLines/>
      <w:spacing w:before="240" w:after="60"/>
      <w:outlineLvl w:val="0"/>
    </w:pPr>
    <w:rPr>
      <w:rFonts w:cs="Arial"/>
      <w:b/>
      <w:bCs/>
      <w:caps/>
      <w:sz w:val="26"/>
      <w:szCs w:val="32"/>
    </w:rPr>
  </w:style>
  <w:style w:type="paragraph" w:styleId="Heading2">
    <w:name w:val="heading 2"/>
    <w:basedOn w:val="Heading1"/>
    <w:next w:val="BodyText"/>
    <w:link w:val="Heading2Char"/>
    <w:qFormat/>
    <w:rsid w:val="00056228"/>
    <w:pPr>
      <w:outlineLvl w:val="1"/>
    </w:pPr>
    <w:rPr>
      <w:bCs w:val="0"/>
      <w:iCs/>
      <w:caps w:val="0"/>
      <w:szCs w:val="28"/>
    </w:rPr>
  </w:style>
  <w:style w:type="paragraph" w:styleId="Heading3">
    <w:name w:val="heading 3"/>
    <w:basedOn w:val="Heading2"/>
    <w:next w:val="BodyText"/>
    <w:link w:val="Heading3Char"/>
    <w:qFormat/>
    <w:rsid w:val="005055EC"/>
    <w:pPr>
      <w:outlineLvl w:val="2"/>
    </w:pPr>
    <w:rPr>
      <w:bCs/>
      <w:i/>
      <w:sz w:val="24"/>
      <w:szCs w:val="26"/>
    </w:rPr>
  </w:style>
  <w:style w:type="paragraph" w:styleId="Heading4">
    <w:name w:val="heading 4"/>
    <w:basedOn w:val="Normal"/>
    <w:next w:val="Normal"/>
    <w:link w:val="Heading4Char"/>
    <w:qFormat/>
    <w:rsid w:val="001E0D4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1">
    <w:name w:val="Bullets 1"/>
    <w:basedOn w:val="BodyText"/>
    <w:rsid w:val="00F80210"/>
    <w:pPr>
      <w:numPr>
        <w:numId w:val="11"/>
      </w:numPr>
      <w:tabs>
        <w:tab w:val="left" w:pos="567"/>
      </w:tabs>
      <w:ind w:left="568" w:hanging="284"/>
    </w:pPr>
  </w:style>
  <w:style w:type="paragraph" w:customStyle="1" w:styleId="Bullets2">
    <w:name w:val="Bullets 2"/>
    <w:basedOn w:val="Bullets1"/>
    <w:rsid w:val="00F80210"/>
    <w:pPr>
      <w:numPr>
        <w:numId w:val="12"/>
      </w:numPr>
      <w:tabs>
        <w:tab w:val="clear" w:pos="567"/>
        <w:tab w:val="left" w:pos="851"/>
      </w:tabs>
      <w:ind w:left="851" w:hanging="284"/>
    </w:pPr>
  </w:style>
  <w:style w:type="table" w:styleId="TableGrid">
    <w:name w:val="Table Grid"/>
    <w:basedOn w:val="TableNormal"/>
    <w:locked/>
    <w:rsid w:val="008838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1E0D42"/>
    <w:pPr>
      <w:spacing w:before="500" w:after="240"/>
      <w:jc w:val="center"/>
      <w:outlineLvl w:val="0"/>
    </w:pPr>
    <w:rPr>
      <w:rFonts w:cs="Arial"/>
      <w:b/>
      <w:bCs/>
      <w:kern w:val="28"/>
      <w:sz w:val="28"/>
      <w:szCs w:val="32"/>
      <w:lang w:val="en-US"/>
    </w:rPr>
  </w:style>
  <w:style w:type="paragraph" w:styleId="BodyText">
    <w:name w:val="Body Text"/>
    <w:link w:val="BodyTextChar"/>
    <w:qFormat/>
    <w:rsid w:val="001E0D42"/>
    <w:pPr>
      <w:spacing w:after="120"/>
    </w:pPr>
    <w:rPr>
      <w:sz w:val="22"/>
      <w:szCs w:val="24"/>
    </w:rPr>
  </w:style>
  <w:style w:type="paragraph" w:customStyle="1" w:styleId="Instructionsandnotesdeleteme">
    <w:name w:val="Instructions and notes (delete me)"/>
    <w:basedOn w:val="BodyText"/>
    <w:qFormat/>
    <w:rsid w:val="00ED3888"/>
    <w:rPr>
      <w:color w:val="FF0000"/>
    </w:rPr>
  </w:style>
  <w:style w:type="character" w:customStyle="1" w:styleId="BodyTextChar">
    <w:name w:val="Body Text Char"/>
    <w:link w:val="BodyText"/>
    <w:rsid w:val="001E0D42"/>
    <w:rPr>
      <w:sz w:val="22"/>
      <w:szCs w:val="24"/>
    </w:rPr>
  </w:style>
  <w:style w:type="character" w:customStyle="1" w:styleId="Heading2Char">
    <w:name w:val="Heading 2 Char"/>
    <w:link w:val="Heading2"/>
    <w:rsid w:val="00BD6A05"/>
    <w:rPr>
      <w:rFonts w:cs="Arial"/>
      <w:b/>
      <w:iCs/>
      <w:sz w:val="28"/>
      <w:szCs w:val="28"/>
    </w:rPr>
  </w:style>
  <w:style w:type="paragraph" w:customStyle="1" w:styleId="AuthorsDetails">
    <w:name w:val="Authors Details"/>
    <w:basedOn w:val="BodyText"/>
    <w:qFormat/>
    <w:rsid w:val="004E2D81"/>
    <w:pPr>
      <w:tabs>
        <w:tab w:val="left" w:pos="284"/>
      </w:tabs>
      <w:spacing w:after="0"/>
      <w:ind w:left="284" w:hanging="284"/>
    </w:pPr>
  </w:style>
  <w:style w:type="paragraph" w:customStyle="1" w:styleId="Numbers1">
    <w:name w:val="Numbers 1"/>
    <w:basedOn w:val="Bullets1"/>
    <w:rsid w:val="00F80210"/>
    <w:pPr>
      <w:numPr>
        <w:numId w:val="13"/>
      </w:numPr>
      <w:ind w:left="568" w:hanging="284"/>
    </w:pPr>
  </w:style>
  <w:style w:type="character" w:customStyle="1" w:styleId="Heading3Char">
    <w:name w:val="Heading 3 Char"/>
    <w:link w:val="Heading3"/>
    <w:rsid w:val="005055EC"/>
    <w:rPr>
      <w:rFonts w:cs="Arial"/>
      <w:b/>
      <w:bCs/>
      <w:i/>
      <w:iCs/>
      <w:sz w:val="24"/>
      <w:szCs w:val="26"/>
    </w:rPr>
  </w:style>
  <w:style w:type="paragraph" w:customStyle="1" w:styleId="Quotes">
    <w:name w:val="Quotes"/>
    <w:basedOn w:val="BodyText"/>
    <w:rsid w:val="00F80210"/>
    <w:pPr>
      <w:ind w:left="851" w:right="567"/>
    </w:pPr>
    <w:rPr>
      <w:i/>
    </w:rPr>
  </w:style>
  <w:style w:type="paragraph" w:customStyle="1" w:styleId="Authorinstructionsandnotesdeleteme">
    <w:name w:val="Author instructions and notes (delete me)"/>
    <w:basedOn w:val="BodyText"/>
    <w:rsid w:val="00255DA9"/>
    <w:pPr>
      <w:spacing w:before="120" w:after="200" w:line="360" w:lineRule="auto"/>
    </w:pPr>
    <w:rPr>
      <w:color w:val="FF0000"/>
    </w:rPr>
  </w:style>
  <w:style w:type="paragraph" w:customStyle="1" w:styleId="ReferenceList">
    <w:name w:val="Reference List"/>
    <w:basedOn w:val="BodyText"/>
    <w:qFormat/>
    <w:rsid w:val="00056228"/>
    <w:pPr>
      <w:ind w:left="567" w:hanging="567"/>
    </w:pPr>
    <w:rPr>
      <w:sz w:val="18"/>
    </w:rPr>
  </w:style>
  <w:style w:type="paragraph" w:styleId="Header">
    <w:name w:val="header"/>
    <w:basedOn w:val="Normal"/>
    <w:link w:val="HeaderChar"/>
    <w:rsid w:val="00F80210"/>
    <w:pPr>
      <w:tabs>
        <w:tab w:val="center" w:pos="4513"/>
        <w:tab w:val="right" w:pos="9026"/>
      </w:tabs>
    </w:pPr>
  </w:style>
  <w:style w:type="character" w:customStyle="1" w:styleId="HeaderChar">
    <w:name w:val="Header Char"/>
    <w:link w:val="Header"/>
    <w:rsid w:val="00BD6A05"/>
    <w:rPr>
      <w:sz w:val="24"/>
      <w:szCs w:val="24"/>
    </w:rPr>
  </w:style>
  <w:style w:type="paragraph" w:styleId="Footer">
    <w:name w:val="footer"/>
    <w:basedOn w:val="Normal"/>
    <w:link w:val="FooterChar"/>
    <w:rsid w:val="00F80210"/>
    <w:pPr>
      <w:tabs>
        <w:tab w:val="center" w:pos="4513"/>
        <w:tab w:val="right" w:pos="9026"/>
      </w:tabs>
    </w:pPr>
  </w:style>
  <w:style w:type="paragraph" w:customStyle="1" w:styleId="Authors">
    <w:name w:val="Authors"/>
    <w:basedOn w:val="BodyText"/>
    <w:qFormat/>
    <w:rsid w:val="001E0D42"/>
    <w:pPr>
      <w:spacing w:after="240"/>
    </w:pPr>
    <w:rPr>
      <w:i/>
    </w:rPr>
  </w:style>
  <w:style w:type="character" w:customStyle="1" w:styleId="FooterChar">
    <w:name w:val="Footer Char"/>
    <w:link w:val="Footer"/>
    <w:rsid w:val="00BD6A05"/>
    <w:rPr>
      <w:sz w:val="24"/>
      <w:szCs w:val="24"/>
    </w:rPr>
  </w:style>
  <w:style w:type="character" w:customStyle="1" w:styleId="Superscripts">
    <w:name w:val="Superscripts"/>
    <w:uiPriority w:val="1"/>
    <w:rsid w:val="00404564"/>
    <w:rPr>
      <w:rFonts w:ascii="Arial" w:hAnsi="Arial"/>
      <w:b w:val="0"/>
      <w:i w:val="0"/>
      <w:sz w:val="20"/>
      <w:vertAlign w:val="superscript"/>
    </w:rPr>
  </w:style>
  <w:style w:type="character" w:customStyle="1" w:styleId="Subscripts">
    <w:name w:val="Subscripts"/>
    <w:uiPriority w:val="1"/>
    <w:rsid w:val="0035381A"/>
    <w:rPr>
      <w:rFonts w:ascii="Arial" w:hAnsi="Arial"/>
      <w:b w:val="0"/>
      <w:i w:val="0"/>
      <w:sz w:val="20"/>
      <w:vertAlign w:val="subscript"/>
    </w:rPr>
  </w:style>
  <w:style w:type="paragraph" w:customStyle="1" w:styleId="Figurecaption">
    <w:name w:val="Figure caption"/>
    <w:basedOn w:val="BodyText"/>
    <w:rsid w:val="004E2D81"/>
    <w:pPr>
      <w:spacing w:before="120" w:after="240"/>
      <w:jc w:val="center"/>
    </w:pPr>
  </w:style>
  <w:style w:type="paragraph" w:customStyle="1" w:styleId="Imagestyle">
    <w:name w:val="Image style"/>
    <w:basedOn w:val="Figurecaption"/>
    <w:rsid w:val="004E2D81"/>
    <w:pPr>
      <w:spacing w:before="240" w:after="0"/>
    </w:pPr>
  </w:style>
  <w:style w:type="paragraph" w:customStyle="1" w:styleId="Tablecaptionhead">
    <w:name w:val="Table caption head"/>
    <w:basedOn w:val="BodyText"/>
    <w:rsid w:val="004E2D81"/>
    <w:pPr>
      <w:spacing w:after="0"/>
      <w:jc w:val="center"/>
    </w:pPr>
    <w:rPr>
      <w:b/>
    </w:rPr>
  </w:style>
  <w:style w:type="paragraph" w:customStyle="1" w:styleId="Tablecaption">
    <w:name w:val="Table caption"/>
    <w:basedOn w:val="Figurecaption"/>
    <w:rsid w:val="004E2D81"/>
  </w:style>
  <w:style w:type="paragraph" w:customStyle="1" w:styleId="Tabletextheaderrow">
    <w:name w:val="Table text header row"/>
    <w:basedOn w:val="BodyText"/>
    <w:rsid w:val="004E2D81"/>
    <w:pPr>
      <w:spacing w:before="60" w:after="60"/>
      <w:jc w:val="center"/>
    </w:pPr>
    <w:rPr>
      <w:b/>
    </w:rPr>
  </w:style>
  <w:style w:type="paragraph" w:customStyle="1" w:styleId="TabletextheaderrowLEFT">
    <w:name w:val="Table text header row LEFT"/>
    <w:basedOn w:val="Tabletextheaderrow"/>
    <w:rsid w:val="004E2D81"/>
    <w:pPr>
      <w:jc w:val="left"/>
    </w:pPr>
  </w:style>
  <w:style w:type="paragraph" w:customStyle="1" w:styleId="Tabletext">
    <w:name w:val="Table text"/>
    <w:basedOn w:val="Tabletextheaderrow"/>
    <w:rsid w:val="00B933F6"/>
    <w:rPr>
      <w:b w:val="0"/>
    </w:rPr>
  </w:style>
  <w:style w:type="paragraph" w:customStyle="1" w:styleId="TabletextLEFT">
    <w:name w:val="Table text LEFT"/>
    <w:basedOn w:val="Tabletext"/>
    <w:rsid w:val="004E2D81"/>
    <w:pPr>
      <w:jc w:val="left"/>
    </w:pPr>
  </w:style>
  <w:style w:type="paragraph" w:customStyle="1" w:styleId="TablebulletLEFT">
    <w:name w:val="Table bullet LEFT"/>
    <w:basedOn w:val="TabletextLEFT"/>
    <w:rsid w:val="004E2D81"/>
    <w:pPr>
      <w:numPr>
        <w:numId w:val="14"/>
      </w:numPr>
      <w:ind w:left="284" w:hanging="284"/>
    </w:pPr>
  </w:style>
  <w:style w:type="paragraph" w:customStyle="1" w:styleId="Tablefootnote">
    <w:name w:val="Table footnote"/>
    <w:basedOn w:val="BodyText"/>
    <w:rsid w:val="004E2D81"/>
    <w:pPr>
      <w:tabs>
        <w:tab w:val="left" w:pos="284"/>
      </w:tabs>
      <w:spacing w:after="60"/>
      <w:ind w:left="284" w:hanging="284"/>
    </w:pPr>
    <w:rPr>
      <w:sz w:val="18"/>
    </w:rPr>
  </w:style>
  <w:style w:type="character" w:customStyle="1" w:styleId="Heading4Char">
    <w:name w:val="Heading 4 Char"/>
    <w:basedOn w:val="DefaultParagraphFont"/>
    <w:link w:val="Heading4"/>
    <w:rsid w:val="001E0D4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49"/>
    <w:semiHidden/>
    <w:unhideWhenUsed/>
    <w:locked/>
    <w:rsid w:val="00EF0F2E"/>
    <w:rPr>
      <w:rFonts w:ascii="Times New Roman" w:hAnsi="Times New Roman"/>
      <w:sz w:val="18"/>
      <w:szCs w:val="18"/>
    </w:rPr>
  </w:style>
  <w:style w:type="character" w:customStyle="1" w:styleId="BalloonTextChar">
    <w:name w:val="Balloon Text Char"/>
    <w:basedOn w:val="DefaultParagraphFont"/>
    <w:link w:val="BalloonText"/>
    <w:uiPriority w:val="49"/>
    <w:semiHidden/>
    <w:rsid w:val="00EF0F2E"/>
    <w:rPr>
      <w:rFonts w:ascii="Times New Roman" w:hAnsi="Times New Roman"/>
      <w:sz w:val="18"/>
      <w:szCs w:val="18"/>
    </w:rPr>
  </w:style>
  <w:style w:type="paragraph" w:styleId="NormalWeb">
    <w:name w:val="Normal (Web)"/>
    <w:basedOn w:val="Normal"/>
    <w:uiPriority w:val="99"/>
    <w:semiHidden/>
    <w:unhideWhenUsed/>
    <w:locked/>
    <w:rsid w:val="006A70BB"/>
    <w:pPr>
      <w:spacing w:before="100" w:beforeAutospacing="1" w:after="100" w:afterAutospacing="1"/>
    </w:pPr>
    <w:rPr>
      <w:rFonts w:ascii="Times New Roman" w:hAnsi="Times New Roman"/>
      <w:lang w:eastAsia="en-US"/>
    </w:rPr>
  </w:style>
  <w:style w:type="paragraph" w:styleId="Caption">
    <w:name w:val="caption"/>
    <w:basedOn w:val="Normal"/>
    <w:next w:val="Normal"/>
    <w:uiPriority w:val="49"/>
    <w:unhideWhenUsed/>
    <w:qFormat/>
    <w:locked/>
    <w:rsid w:val="006A70BB"/>
    <w:pPr>
      <w:spacing w:after="200"/>
    </w:pPr>
    <w:rPr>
      <w:i/>
      <w:iCs/>
      <w:color w:val="44546A" w:themeColor="text2"/>
      <w:sz w:val="18"/>
      <w:szCs w:val="18"/>
    </w:rPr>
  </w:style>
  <w:style w:type="character" w:styleId="PlaceholderText">
    <w:name w:val="Placeholder Text"/>
    <w:basedOn w:val="DefaultParagraphFont"/>
    <w:uiPriority w:val="49"/>
    <w:semiHidden/>
    <w:locked/>
    <w:rsid w:val="00DA7D33"/>
    <w:rPr>
      <w:color w:val="808080"/>
    </w:rPr>
  </w:style>
  <w:style w:type="table" w:styleId="PlainTable4">
    <w:name w:val="Plain Table 4"/>
    <w:basedOn w:val="TableNormal"/>
    <w:uiPriority w:val="44"/>
    <w:rsid w:val="000905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49"/>
    <w:semiHidden/>
    <w:locked/>
    <w:rsid w:val="005E2871"/>
    <w:rPr>
      <w:sz w:val="16"/>
      <w:szCs w:val="16"/>
    </w:rPr>
  </w:style>
  <w:style w:type="paragraph" w:styleId="CommentText">
    <w:name w:val="annotation text"/>
    <w:basedOn w:val="Normal"/>
    <w:link w:val="CommentTextChar"/>
    <w:uiPriority w:val="49"/>
    <w:semiHidden/>
    <w:locked/>
    <w:rsid w:val="005E2871"/>
    <w:rPr>
      <w:sz w:val="20"/>
      <w:szCs w:val="20"/>
    </w:rPr>
  </w:style>
  <w:style w:type="character" w:customStyle="1" w:styleId="CommentTextChar">
    <w:name w:val="Comment Text Char"/>
    <w:basedOn w:val="DefaultParagraphFont"/>
    <w:link w:val="CommentText"/>
    <w:uiPriority w:val="49"/>
    <w:semiHidden/>
    <w:rsid w:val="005E2871"/>
  </w:style>
  <w:style w:type="paragraph" w:styleId="CommentSubject">
    <w:name w:val="annotation subject"/>
    <w:basedOn w:val="CommentText"/>
    <w:next w:val="CommentText"/>
    <w:link w:val="CommentSubjectChar"/>
    <w:uiPriority w:val="49"/>
    <w:semiHidden/>
    <w:locked/>
    <w:rsid w:val="005E2871"/>
    <w:rPr>
      <w:b/>
      <w:bCs/>
    </w:rPr>
  </w:style>
  <w:style w:type="character" w:customStyle="1" w:styleId="CommentSubjectChar">
    <w:name w:val="Comment Subject Char"/>
    <w:basedOn w:val="CommentTextChar"/>
    <w:link w:val="CommentSubject"/>
    <w:uiPriority w:val="49"/>
    <w:semiHidden/>
    <w:rsid w:val="005E2871"/>
    <w:rPr>
      <w:b/>
      <w:bCs/>
    </w:rPr>
  </w:style>
  <w:style w:type="paragraph" w:styleId="Revision">
    <w:name w:val="Revision"/>
    <w:hidden/>
    <w:uiPriority w:val="99"/>
    <w:semiHidden/>
    <w:rsid w:val="00CC780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517816">
      <w:bodyDiv w:val="1"/>
      <w:marLeft w:val="0"/>
      <w:marRight w:val="0"/>
      <w:marTop w:val="0"/>
      <w:marBottom w:val="0"/>
      <w:divBdr>
        <w:top w:val="none" w:sz="0" w:space="0" w:color="auto"/>
        <w:left w:val="none" w:sz="0" w:space="0" w:color="auto"/>
        <w:bottom w:val="none" w:sz="0" w:space="0" w:color="auto"/>
        <w:right w:val="none" w:sz="0" w:space="0" w:color="auto"/>
      </w:divBdr>
      <w:divsChild>
        <w:div w:id="691537070">
          <w:marLeft w:val="-108"/>
          <w:marRight w:val="0"/>
          <w:marTop w:val="0"/>
          <w:marBottom w:val="0"/>
          <w:divBdr>
            <w:top w:val="none" w:sz="0" w:space="0" w:color="auto"/>
            <w:left w:val="none" w:sz="0" w:space="0" w:color="auto"/>
            <w:bottom w:val="none" w:sz="0" w:space="0" w:color="auto"/>
            <w:right w:val="none" w:sz="0" w:space="0" w:color="auto"/>
          </w:divBdr>
        </w:div>
      </w:divsChild>
    </w:div>
    <w:div w:id="543054613">
      <w:bodyDiv w:val="1"/>
      <w:marLeft w:val="0"/>
      <w:marRight w:val="0"/>
      <w:marTop w:val="0"/>
      <w:marBottom w:val="0"/>
      <w:divBdr>
        <w:top w:val="none" w:sz="0" w:space="0" w:color="auto"/>
        <w:left w:val="none" w:sz="0" w:space="0" w:color="auto"/>
        <w:bottom w:val="none" w:sz="0" w:space="0" w:color="auto"/>
        <w:right w:val="none" w:sz="0" w:space="0" w:color="auto"/>
      </w:divBdr>
      <w:divsChild>
        <w:div w:id="163054713">
          <w:marLeft w:val="0"/>
          <w:marRight w:val="0"/>
          <w:marTop w:val="0"/>
          <w:marBottom w:val="0"/>
          <w:divBdr>
            <w:top w:val="none" w:sz="0" w:space="0" w:color="auto"/>
            <w:left w:val="none" w:sz="0" w:space="0" w:color="auto"/>
            <w:bottom w:val="none" w:sz="0" w:space="0" w:color="auto"/>
            <w:right w:val="none" w:sz="0" w:space="0" w:color="auto"/>
          </w:divBdr>
          <w:divsChild>
            <w:div w:id="539900078">
              <w:marLeft w:val="0"/>
              <w:marRight w:val="0"/>
              <w:marTop w:val="0"/>
              <w:marBottom w:val="0"/>
              <w:divBdr>
                <w:top w:val="none" w:sz="0" w:space="0" w:color="auto"/>
                <w:left w:val="none" w:sz="0" w:space="0" w:color="auto"/>
                <w:bottom w:val="none" w:sz="0" w:space="0" w:color="auto"/>
                <w:right w:val="none" w:sz="0" w:space="0" w:color="auto"/>
              </w:divBdr>
              <w:divsChild>
                <w:div w:id="20762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58374">
      <w:bodyDiv w:val="1"/>
      <w:marLeft w:val="0"/>
      <w:marRight w:val="0"/>
      <w:marTop w:val="0"/>
      <w:marBottom w:val="0"/>
      <w:divBdr>
        <w:top w:val="none" w:sz="0" w:space="0" w:color="auto"/>
        <w:left w:val="none" w:sz="0" w:space="0" w:color="auto"/>
        <w:bottom w:val="none" w:sz="0" w:space="0" w:color="auto"/>
        <w:right w:val="none" w:sz="0" w:space="0" w:color="auto"/>
      </w:divBdr>
    </w:div>
    <w:div w:id="1192649287">
      <w:bodyDiv w:val="1"/>
      <w:marLeft w:val="0"/>
      <w:marRight w:val="0"/>
      <w:marTop w:val="0"/>
      <w:marBottom w:val="0"/>
      <w:divBdr>
        <w:top w:val="none" w:sz="0" w:space="0" w:color="auto"/>
        <w:left w:val="none" w:sz="0" w:space="0" w:color="auto"/>
        <w:bottom w:val="none" w:sz="0" w:space="0" w:color="auto"/>
        <w:right w:val="none" w:sz="0" w:space="0" w:color="auto"/>
      </w:divBdr>
    </w:div>
    <w:div w:id="1797484238">
      <w:bodyDiv w:val="1"/>
      <w:marLeft w:val="0"/>
      <w:marRight w:val="0"/>
      <w:marTop w:val="0"/>
      <w:marBottom w:val="0"/>
      <w:divBdr>
        <w:top w:val="none" w:sz="0" w:space="0" w:color="auto"/>
        <w:left w:val="none" w:sz="0" w:space="0" w:color="auto"/>
        <w:bottom w:val="none" w:sz="0" w:space="0" w:color="auto"/>
        <w:right w:val="none" w:sz="0" w:space="0" w:color="auto"/>
      </w:divBdr>
      <w:divsChild>
        <w:div w:id="237518375">
          <w:marLeft w:val="0"/>
          <w:marRight w:val="0"/>
          <w:marTop w:val="0"/>
          <w:marBottom w:val="0"/>
          <w:divBdr>
            <w:top w:val="none" w:sz="0" w:space="0" w:color="auto"/>
            <w:left w:val="none" w:sz="0" w:space="0" w:color="auto"/>
            <w:bottom w:val="none" w:sz="0" w:space="0" w:color="auto"/>
            <w:right w:val="none" w:sz="0" w:space="0" w:color="auto"/>
          </w:divBdr>
          <w:divsChild>
            <w:div w:id="376053596">
              <w:marLeft w:val="0"/>
              <w:marRight w:val="0"/>
              <w:marTop w:val="0"/>
              <w:marBottom w:val="0"/>
              <w:divBdr>
                <w:top w:val="none" w:sz="0" w:space="0" w:color="auto"/>
                <w:left w:val="none" w:sz="0" w:space="0" w:color="auto"/>
                <w:bottom w:val="none" w:sz="0" w:space="0" w:color="auto"/>
                <w:right w:val="none" w:sz="0" w:space="0" w:color="auto"/>
              </w:divBdr>
              <w:divsChild>
                <w:div w:id="10301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539293">
      <w:bodyDiv w:val="1"/>
      <w:marLeft w:val="0"/>
      <w:marRight w:val="0"/>
      <w:marTop w:val="0"/>
      <w:marBottom w:val="0"/>
      <w:divBdr>
        <w:top w:val="none" w:sz="0" w:space="0" w:color="auto"/>
        <w:left w:val="none" w:sz="0" w:space="0" w:color="auto"/>
        <w:bottom w:val="none" w:sz="0" w:space="0" w:color="auto"/>
        <w:right w:val="none" w:sz="0" w:space="0" w:color="auto"/>
      </w:divBdr>
    </w:div>
    <w:div w:id="192514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0.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tre162/Documents/Talks_Presentations/Geology/AusIMM/PhotonAssay%20preso/Core_Work/Final_Core_Resul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920" b="0" i="0" u="none" strike="noStrike" kern="1200" spc="0" normalizeH="0" baseline="0">
                <a:solidFill>
                  <a:schemeClr val="tx1">
                    <a:lumMod val="65000"/>
                    <a:lumOff val="35000"/>
                  </a:schemeClr>
                </a:solidFill>
                <a:latin typeface="+mj-lt"/>
                <a:ea typeface="+mj-ea"/>
                <a:cs typeface="+mj-cs"/>
              </a:defRPr>
            </a:pPr>
            <a:r>
              <a:rPr lang="en-US"/>
              <a:t>Core Samples</a:t>
            </a:r>
          </a:p>
        </c:rich>
      </c:tx>
      <c:overlay val="0"/>
      <c:spPr>
        <a:noFill/>
        <a:ln>
          <a:noFill/>
        </a:ln>
        <a:effectLst/>
      </c:spPr>
      <c:txPr>
        <a:bodyPr rot="0" spcFirstLastPara="1" vertOverflow="ellipsis" vert="horz" wrap="square" anchor="ctr" anchorCtr="1"/>
        <a:lstStyle/>
        <a:p>
          <a:pPr>
            <a:defRPr sz="1920" b="0" i="0" u="none" strike="noStrike" kern="1200" spc="0" normalizeH="0" baseline="0">
              <a:solidFill>
                <a:schemeClr val="tx1">
                  <a:lumMod val="65000"/>
                  <a:lumOff val="35000"/>
                </a:schemeClr>
              </a:solidFill>
              <a:latin typeface="+mj-lt"/>
              <a:ea typeface="+mj-ea"/>
              <a:cs typeface="+mj-cs"/>
            </a:defRPr>
          </a:pPr>
          <a:endParaRPr lang="en-US"/>
        </a:p>
      </c:txPr>
    </c:title>
    <c:autoTitleDeleted val="0"/>
    <c:plotArea>
      <c:layout/>
      <c:scatterChart>
        <c:scatterStyle val="lineMarker"/>
        <c:varyColors val="0"/>
        <c:ser>
          <c:idx val="1"/>
          <c:order val="1"/>
          <c:tx>
            <c:v>Ratio</c:v>
          </c:tx>
          <c:spPr>
            <a:ln w="25400" cap="flat" cmpd="dbl" algn="ctr">
              <a:noFill/>
              <a:round/>
            </a:ln>
            <a:effectLst/>
          </c:spPr>
          <c:marker>
            <c:symbol val="circle"/>
            <c:size val="6"/>
            <c:spPr>
              <a:noFill/>
              <a:ln w="34925" cap="flat" cmpd="dbl" algn="ctr">
                <a:solidFill>
                  <a:schemeClr val="accent2">
                    <a:lumMod val="75000"/>
                    <a:alpha val="70000"/>
                  </a:schemeClr>
                </a:solidFill>
                <a:round/>
              </a:ln>
              <a:effectLst/>
            </c:spPr>
          </c:marker>
          <c:xVal>
            <c:numRef>
              <c:f>Sheet1!$J$7:$J$10</c:f>
              <c:numCache>
                <c:formatCode>0.0</c:formatCode>
                <c:ptCount val="4"/>
                <c:pt idx="0">
                  <c:v>2.7</c:v>
                </c:pt>
                <c:pt idx="1">
                  <c:v>6.1</c:v>
                </c:pt>
                <c:pt idx="2">
                  <c:v>0.9</c:v>
                </c:pt>
                <c:pt idx="3">
                  <c:v>0.2</c:v>
                </c:pt>
              </c:numCache>
            </c:numRef>
          </c:xVal>
          <c:yVal>
            <c:numRef>
              <c:f>Sheet1!$K$7:$K$10</c:f>
              <c:numCache>
                <c:formatCode>0.0</c:formatCode>
                <c:ptCount val="4"/>
                <c:pt idx="0">
                  <c:v>2.7770859277708499</c:v>
                </c:pt>
                <c:pt idx="1">
                  <c:v>5.89450656295576</c:v>
                </c:pt>
                <c:pt idx="2">
                  <c:v>0.84631008801624896</c:v>
                </c:pt>
                <c:pt idx="3">
                  <c:v>0.27993974391162402</c:v>
                </c:pt>
              </c:numCache>
            </c:numRef>
          </c:yVal>
          <c:smooth val="0"/>
          <c:extLst>
            <c:ext xmlns:c16="http://schemas.microsoft.com/office/drawing/2014/chart" uri="{C3380CC4-5D6E-409C-BE32-E72D297353CC}">
              <c16:uniqueId val="{00000000-1619-2940-B20E-9CD65753B439}"/>
            </c:ext>
          </c:extLst>
        </c:ser>
        <c:ser>
          <c:idx val="2"/>
          <c:order val="2"/>
          <c:spPr>
            <a:ln w="25400" cap="flat" cmpd="dbl" algn="ctr">
              <a:solidFill>
                <a:srgbClr val="FFC000"/>
              </a:solidFill>
              <a:round/>
            </a:ln>
            <a:effectLst/>
          </c:spPr>
          <c:marker>
            <c:symbol val="none"/>
          </c:marker>
          <c:xVal>
            <c:numRef>
              <c:f>Sheet1!$M$7:$M$10</c:f>
              <c:numCache>
                <c:formatCode>General</c:formatCode>
                <c:ptCount val="4"/>
                <c:pt idx="0">
                  <c:v>2.7</c:v>
                </c:pt>
                <c:pt idx="1">
                  <c:v>6.1</c:v>
                </c:pt>
                <c:pt idx="2">
                  <c:v>0.9</c:v>
                </c:pt>
                <c:pt idx="3">
                  <c:v>0.2</c:v>
                </c:pt>
              </c:numCache>
            </c:numRef>
          </c:xVal>
          <c:yVal>
            <c:numRef>
              <c:f>Sheet1!$J$7:$J$10</c:f>
              <c:numCache>
                <c:formatCode>0.0</c:formatCode>
                <c:ptCount val="4"/>
                <c:pt idx="0">
                  <c:v>2.7</c:v>
                </c:pt>
                <c:pt idx="1">
                  <c:v>6.1</c:v>
                </c:pt>
                <c:pt idx="2">
                  <c:v>0.9</c:v>
                </c:pt>
                <c:pt idx="3">
                  <c:v>0.2</c:v>
                </c:pt>
              </c:numCache>
            </c:numRef>
          </c:yVal>
          <c:smooth val="0"/>
          <c:extLst>
            <c:ext xmlns:c16="http://schemas.microsoft.com/office/drawing/2014/chart" uri="{C3380CC4-5D6E-409C-BE32-E72D297353CC}">
              <c16:uniqueId val="{00000001-1619-2940-B20E-9CD65753B439}"/>
            </c:ext>
          </c:extLst>
        </c:ser>
        <c:dLbls>
          <c:showLegendKey val="0"/>
          <c:showVal val="0"/>
          <c:showCatName val="0"/>
          <c:showSerName val="0"/>
          <c:showPercent val="0"/>
          <c:showBubbleSize val="0"/>
        </c:dLbls>
        <c:axId val="1046714432"/>
        <c:axId val="947827952"/>
      </c:scatterChart>
      <c:scatterChart>
        <c:scatterStyle val="lineMarker"/>
        <c:varyColors val="0"/>
        <c:ser>
          <c:idx val="0"/>
          <c:order val="0"/>
          <c:tx>
            <c:v>Difference</c:v>
          </c:tx>
          <c:spPr>
            <a:ln w="25400" cap="flat" cmpd="dbl" algn="ctr">
              <a:noFill/>
              <a:round/>
            </a:ln>
            <a:effectLst/>
          </c:spPr>
          <c:marker>
            <c:symbol val="triangle"/>
            <c:size val="6"/>
            <c:spPr>
              <a:noFill/>
              <a:ln w="34925" cap="flat" cmpd="dbl" algn="ctr">
                <a:solidFill>
                  <a:schemeClr val="accent1">
                    <a:lumMod val="75000"/>
                    <a:alpha val="70000"/>
                  </a:schemeClr>
                </a:solidFill>
                <a:round/>
              </a:ln>
              <a:effectLst/>
            </c:spPr>
          </c:marker>
          <c:dLbls>
            <c:delete val="1"/>
          </c:dLbls>
          <c:xVal>
            <c:numRef>
              <c:f>Sheet1!$J$7:$J$10</c:f>
              <c:numCache>
                <c:formatCode>0.0</c:formatCode>
                <c:ptCount val="4"/>
                <c:pt idx="0">
                  <c:v>2.7</c:v>
                </c:pt>
                <c:pt idx="1">
                  <c:v>6.1</c:v>
                </c:pt>
                <c:pt idx="2">
                  <c:v>0.9</c:v>
                </c:pt>
                <c:pt idx="3">
                  <c:v>0.2</c:v>
                </c:pt>
              </c:numCache>
            </c:numRef>
          </c:xVal>
          <c:yVal>
            <c:numRef>
              <c:f>Sheet1!$L$7:$L$10</c:f>
              <c:numCache>
                <c:formatCode>0.0</c:formatCode>
                <c:ptCount val="4"/>
                <c:pt idx="0">
                  <c:v>-7.7085927770849771E-2</c:v>
                </c:pt>
                <c:pt idx="1">
                  <c:v>0.20549343704423961</c:v>
                </c:pt>
                <c:pt idx="2">
                  <c:v>5.368991198375106E-2</c:v>
                </c:pt>
                <c:pt idx="3">
                  <c:v>-7.9939743911624006E-2</c:v>
                </c:pt>
              </c:numCache>
            </c:numRef>
          </c:yVal>
          <c:smooth val="0"/>
          <c:extLst>
            <c:ext xmlns:c16="http://schemas.microsoft.com/office/drawing/2014/chart" uri="{C3380CC4-5D6E-409C-BE32-E72D297353CC}">
              <c16:uniqueId val="{00000002-1619-2940-B20E-9CD65753B439}"/>
            </c:ext>
          </c:extLst>
        </c:ser>
        <c:dLbls>
          <c:dLblPos val="r"/>
          <c:showLegendKey val="0"/>
          <c:showVal val="1"/>
          <c:showCatName val="1"/>
          <c:showSerName val="0"/>
          <c:showPercent val="0"/>
          <c:showBubbleSize val="0"/>
        </c:dLbls>
        <c:axId val="1604331679"/>
        <c:axId val="1604410367"/>
      </c:scatterChart>
      <c:valAx>
        <c:axId val="1046714432"/>
        <c:scaling>
          <c:orientation val="minMax"/>
        </c:scaling>
        <c:delete val="0"/>
        <c:axPos val="b"/>
        <c:title>
          <c:tx>
            <c:rich>
              <a:bodyPr rot="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r>
                  <a:rPr lang="en-US"/>
                  <a:t>Photon Assay Gold (ppm)</a:t>
                </a:r>
              </a:p>
            </c:rich>
          </c:tx>
          <c:overlay val="0"/>
          <c:spPr>
            <a:noFill/>
            <a:ln>
              <a:noFill/>
            </a:ln>
            <a:effectLst/>
          </c:spPr>
          <c:txPr>
            <a:bodyPr rot="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cap="none" spc="0" normalizeH="0" baseline="0">
                <a:solidFill>
                  <a:schemeClr val="tx1">
                    <a:lumMod val="65000"/>
                    <a:lumOff val="35000"/>
                  </a:schemeClr>
                </a:solidFill>
                <a:latin typeface="+mn-lt"/>
                <a:ea typeface="+mn-ea"/>
                <a:cs typeface="+mn-cs"/>
              </a:defRPr>
            </a:pPr>
            <a:endParaRPr lang="en-US"/>
          </a:p>
        </c:txPr>
        <c:crossAx val="947827952"/>
        <c:crosses val="autoZero"/>
        <c:crossBetween val="midCat"/>
      </c:valAx>
      <c:valAx>
        <c:axId val="947827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r>
                  <a:rPr lang="en-US"/>
                  <a:t>Fire Assay Gold (ppm)</a:t>
                </a:r>
              </a:p>
            </c:rich>
          </c:tx>
          <c:overlay val="0"/>
          <c:spPr>
            <a:noFill/>
            <a:ln>
              <a:noFill/>
            </a:ln>
            <a:effectLst/>
          </c:spPr>
          <c:txPr>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1046714432"/>
        <c:crosses val="autoZero"/>
        <c:crossBetween val="midCat"/>
      </c:valAx>
      <c:valAx>
        <c:axId val="1604410367"/>
        <c:scaling>
          <c:orientation val="minMax"/>
          <c:max val="0.5"/>
        </c:scaling>
        <c:delete val="0"/>
        <c:axPos val="r"/>
        <c:title>
          <c:tx>
            <c:rich>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r>
                  <a:rPr lang="en-US"/>
                  <a:t>Difference </a:t>
                </a:r>
              </a:p>
            </c:rich>
          </c:tx>
          <c:overlay val="0"/>
          <c:spPr>
            <a:noFill/>
            <a:ln>
              <a:noFill/>
            </a:ln>
            <a:effectLst/>
          </c:spPr>
          <c:txPr>
            <a:bodyPr rot="-5400000" spcFirstLastPara="1" vertOverflow="ellipsis" vert="horz" wrap="square" anchor="ctr" anchorCtr="1"/>
            <a:lstStyle/>
            <a:p>
              <a:pPr>
                <a:defRPr sz="1600" b="0" i="0" u="none" strike="noStrike" kern="1200" cap="all"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crossAx val="1604331679"/>
        <c:crosses val="max"/>
        <c:crossBetween val="midCat"/>
      </c:valAx>
      <c:valAx>
        <c:axId val="1604331679"/>
        <c:scaling>
          <c:orientation val="minMax"/>
        </c:scaling>
        <c:delete val="1"/>
        <c:axPos val="b"/>
        <c:numFmt formatCode="0.0" sourceLinked="1"/>
        <c:majorTickMark val="out"/>
        <c:minorTickMark val="none"/>
        <c:tickLblPos val="nextTo"/>
        <c:crossAx val="16044103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6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91EB6-CC8D-C245-80A8-00A04C0D8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12</Pages>
  <Words>4660</Words>
  <Characters>26563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Face sheet…</vt:lpstr>
    </vt:vector>
  </TitlesOfParts>
  <Company>AIMM</Company>
  <LinksUpToDate>false</LinksUpToDate>
  <CharactersWithSpaces>31161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Face sheet…</dc:title>
  <dc:subject/>
  <dc:creator>Claire Stuart</dc:creator>
  <cp:keywords/>
  <dc:description/>
  <cp:lastModifiedBy>Tremblay, Chenoa (CASS, Kensington WA)</cp:lastModifiedBy>
  <cp:revision>12</cp:revision>
  <dcterms:created xsi:type="dcterms:W3CDTF">2019-06-16T23:09:00Z</dcterms:created>
  <dcterms:modified xsi:type="dcterms:W3CDTF">2019-08-26T03:42:00Z</dcterms:modified>
</cp:coreProperties>
</file>