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0DD697AF" w:rsidR="00255DA9" w:rsidRPr="00261226" w:rsidRDefault="00B92838" w:rsidP="00940D83">
      <w:pPr>
        <w:pStyle w:val="Title"/>
      </w:pPr>
      <w:r w:rsidRPr="00B92838">
        <w:rPr>
          <w:lang w:val="en-AU"/>
        </w:rPr>
        <w:t xml:space="preserve">Paragenesis to </w:t>
      </w:r>
      <w:r w:rsidR="00940D83">
        <w:t>p</w:t>
      </w:r>
      <w:r w:rsidRPr="00940D83">
        <w:t>rocessing</w:t>
      </w:r>
      <w:r w:rsidRPr="00B92838">
        <w:rPr>
          <w:lang w:val="en-AU"/>
        </w:rPr>
        <w:t xml:space="preserve">: Structural and </w:t>
      </w:r>
      <w:r w:rsidR="00940D83">
        <w:rPr>
          <w:lang w:val="en-AU"/>
        </w:rPr>
        <w:t>g</w:t>
      </w:r>
      <w:r w:rsidRPr="00B92838">
        <w:rPr>
          <w:lang w:val="en-AU"/>
        </w:rPr>
        <w:t xml:space="preserve">eochemical </w:t>
      </w:r>
      <w:r w:rsidR="00940D83">
        <w:rPr>
          <w:lang w:val="en-AU"/>
        </w:rPr>
        <w:t>c</w:t>
      </w:r>
      <w:r w:rsidRPr="00B92838">
        <w:rPr>
          <w:lang w:val="en-AU"/>
        </w:rPr>
        <w:t xml:space="preserve">onstraints on </w:t>
      </w:r>
      <w:r w:rsidR="00940D83">
        <w:rPr>
          <w:lang w:val="en-AU"/>
        </w:rPr>
        <w:t>g</w:t>
      </w:r>
      <w:r w:rsidRPr="00B92838">
        <w:rPr>
          <w:lang w:val="en-AU"/>
        </w:rPr>
        <w:t xml:space="preserve">old </w:t>
      </w:r>
      <w:r w:rsidR="00940D83">
        <w:rPr>
          <w:lang w:val="en-AU"/>
        </w:rPr>
        <w:t>s</w:t>
      </w:r>
      <w:r w:rsidRPr="00B92838">
        <w:rPr>
          <w:lang w:val="en-AU"/>
        </w:rPr>
        <w:t xml:space="preserve">upply </w:t>
      </w:r>
      <w:r w:rsidR="00940D83">
        <w:rPr>
          <w:lang w:val="en-AU"/>
        </w:rPr>
        <w:t>c</w:t>
      </w:r>
      <w:r w:rsidRPr="00B92838">
        <w:rPr>
          <w:lang w:val="en-AU"/>
        </w:rPr>
        <w:t xml:space="preserve">hain </w:t>
      </w:r>
      <w:r w:rsidR="00940D83">
        <w:rPr>
          <w:lang w:val="en-AU"/>
        </w:rPr>
        <w:t>o</w:t>
      </w:r>
      <w:r w:rsidRPr="00B92838">
        <w:rPr>
          <w:lang w:val="en-AU"/>
        </w:rPr>
        <w:t xml:space="preserve">ptimisation in the </w:t>
      </w:r>
      <w:r w:rsidR="00940D83">
        <w:rPr>
          <w:lang w:val="en-AU"/>
        </w:rPr>
        <w:t>A</w:t>
      </w:r>
      <w:r w:rsidRPr="00B92838">
        <w:rPr>
          <w:lang w:val="en-AU"/>
        </w:rPr>
        <w:t>rchean Terranes of Western Australia</w:t>
      </w:r>
    </w:p>
    <w:p w14:paraId="24EE1200" w14:textId="07B48295" w:rsidR="00B92838" w:rsidRDefault="00B92838" w:rsidP="00940D83">
      <w:pPr>
        <w:pStyle w:val="Authors"/>
      </w:pPr>
      <w:r w:rsidRPr="00940D83">
        <w:rPr>
          <w:u w:val="single"/>
        </w:rPr>
        <w:t>M</w:t>
      </w:r>
      <w:r w:rsidR="00940D83" w:rsidRPr="00940D83">
        <w:rPr>
          <w:u w:val="single"/>
        </w:rPr>
        <w:t>ikaela</w:t>
      </w:r>
      <w:r w:rsidRPr="00940D83">
        <w:rPr>
          <w:u w:val="single"/>
        </w:rPr>
        <w:t xml:space="preserve"> G</w:t>
      </w:r>
      <w:r w:rsidR="00940D83" w:rsidRPr="00940D83">
        <w:rPr>
          <w:u w:val="single"/>
        </w:rPr>
        <w:t>.</w:t>
      </w:r>
      <w:r w:rsidRPr="00940D83">
        <w:rPr>
          <w:u w:val="single"/>
        </w:rPr>
        <w:t xml:space="preserve"> Tannert Podesta</w:t>
      </w:r>
      <w:r w:rsidR="00255DA9" w:rsidRPr="00745768">
        <w:rPr>
          <w:vertAlign w:val="superscript"/>
        </w:rPr>
        <w:t>1</w:t>
      </w:r>
    </w:p>
    <w:p w14:paraId="43A1D783" w14:textId="2DC0A9FB" w:rsidR="00255DA9" w:rsidRDefault="00255DA9" w:rsidP="00940D83">
      <w:pPr>
        <w:pStyle w:val="AuthorsDetails"/>
      </w:pPr>
      <w:r>
        <w:t>1.</w:t>
      </w:r>
      <w:r w:rsidR="00323BF8">
        <w:t xml:space="preserve"> </w:t>
      </w:r>
      <w:r w:rsidR="00266BBC">
        <w:t>Honours</w:t>
      </w:r>
      <w:r w:rsidR="00D32FF0">
        <w:t xml:space="preserve"> </w:t>
      </w:r>
      <w:r w:rsidR="00D32FF0" w:rsidRPr="00940D83">
        <w:t>S</w:t>
      </w:r>
      <w:r w:rsidR="00B92838" w:rsidRPr="00940D83">
        <w:t>tudent</w:t>
      </w:r>
      <w:r>
        <w:t xml:space="preserve">, </w:t>
      </w:r>
      <w:r w:rsidR="00B92838">
        <w:t>The University of Western Australia</w:t>
      </w:r>
      <w:r>
        <w:t xml:space="preserve">, </w:t>
      </w:r>
      <w:r w:rsidR="00B92838">
        <w:t>Perth</w:t>
      </w:r>
      <w:r w:rsidR="00BA4C9A">
        <w:t>,</w:t>
      </w:r>
      <w:r w:rsidR="00B92838">
        <w:t xml:space="preserve"> WA</w:t>
      </w:r>
      <w:r w:rsidR="00BA4C9A">
        <w:t>,</w:t>
      </w:r>
      <w:r w:rsidR="00B92838">
        <w:t xml:space="preserve"> 6009</w:t>
      </w:r>
      <w:r w:rsidR="00BA4C9A">
        <w:t>,</w:t>
      </w:r>
      <w:r w:rsidR="00526B81">
        <w:t xml:space="preserve"> </w:t>
      </w:r>
      <w:r w:rsidR="00940D83">
        <w:t xml:space="preserve">email: </w:t>
      </w:r>
      <w:hyperlink r:id="rId7" w:history="1">
        <w:r w:rsidR="00940D83" w:rsidRPr="008C5796">
          <w:rPr>
            <w:rStyle w:val="Hyperlink"/>
          </w:rPr>
          <w:t>mikahtannert@gmail.com</w:t>
        </w:r>
      </w:hyperlink>
      <w:r w:rsidR="00940D83">
        <w:t xml:space="preserve"> </w:t>
      </w:r>
    </w:p>
    <w:p w14:paraId="32D5971B" w14:textId="5AED1333" w:rsidR="00F42E69" w:rsidRDefault="00F42E69" w:rsidP="00940D83">
      <w:pPr>
        <w:pStyle w:val="Keywords"/>
      </w:pPr>
      <w:bookmarkStart w:id="0" w:name="_Hlk49264075"/>
      <w:r w:rsidRPr="00F42E69">
        <w:t>Keywords:</w:t>
      </w:r>
      <w:r>
        <w:t xml:space="preserve"> </w:t>
      </w:r>
      <w:r w:rsidR="003A3818" w:rsidRPr="003A3818">
        <w:t xml:space="preserve">gold mineralisation; paragenesis; supply </w:t>
      </w:r>
      <w:r w:rsidR="006C6E6B">
        <w:t>optimisation</w:t>
      </w:r>
      <w:r w:rsidR="003A3818" w:rsidRPr="003A3818">
        <w:t>; accessory mineral</w:t>
      </w:r>
      <w:r w:rsidR="003A3818">
        <w:t xml:space="preserve"> </w:t>
      </w:r>
      <w:r w:rsidR="003A3818" w:rsidRPr="00940D83">
        <w:t>geochronology</w:t>
      </w:r>
      <w:r w:rsidR="003A3818" w:rsidRPr="003A3818">
        <w:t>; Archean terranes; Western Australia</w:t>
      </w:r>
    </w:p>
    <w:bookmarkEnd w:id="0"/>
    <w:p w14:paraId="658D7EAF" w14:textId="0E9884FA" w:rsidR="00044284" w:rsidRDefault="00255DA9" w:rsidP="00940D83">
      <w:pPr>
        <w:pStyle w:val="Heading1"/>
        <w:rPr>
          <w:lang w:val="en-GB"/>
        </w:rPr>
      </w:pPr>
      <w:r w:rsidRPr="001A56DE">
        <w:rPr>
          <w:lang w:val="en-GB"/>
        </w:rPr>
        <w:t>ABSTRACT</w:t>
      </w:r>
      <w:r w:rsidR="00FC5E0F" w:rsidRPr="001A56DE">
        <w:rPr>
          <w:lang w:val="en-GB"/>
        </w:rPr>
        <w:t xml:space="preserve"> </w:t>
      </w:r>
    </w:p>
    <w:p w14:paraId="2360DB9A" w14:textId="48CBE30E" w:rsidR="00E150C0" w:rsidRPr="00940D83" w:rsidRDefault="00E150C0" w:rsidP="00940D83">
      <w:pPr>
        <w:pStyle w:val="BodyText"/>
      </w:pPr>
      <w:r w:rsidRPr="00940D83">
        <w:t xml:space="preserve">The gold supply chain does not begin at the haul road or enterprise </w:t>
      </w:r>
      <w:r w:rsidR="00EE3A6F" w:rsidRPr="00940D83">
        <w:t>dashboard;</w:t>
      </w:r>
      <w:r w:rsidR="00A6466C" w:rsidRPr="00940D83">
        <w:t xml:space="preserve"> </w:t>
      </w:r>
      <w:r w:rsidRPr="00940D83">
        <w:t>it starts at the thin section. In the Archean terranes of Western Australia, gold deposits exhibit paragenetic and metallurgical behaviour distinct from other metals. Gold commonly forms during late-stage deformation, often associated with telluride-rich assemblages and micro-inclusions in phosphate minerals, challenging conventional resource modelling and characterisation methods.</w:t>
      </w:r>
    </w:p>
    <w:p w14:paraId="55D56328" w14:textId="1CE1BD4E" w:rsidR="00E150C0" w:rsidRPr="00940D83" w:rsidRDefault="00E150C0" w:rsidP="00940D83">
      <w:pPr>
        <w:pStyle w:val="BodyText"/>
      </w:pPr>
      <w:r w:rsidRPr="00940D83">
        <w:t xml:space="preserve">To reduce risk and enhance throughput, supply chains must build on an accurate and comprehensive understanding of the geological and metallurgical characteristics, rather than on administrative abstraction. </w:t>
      </w:r>
      <w:r w:rsidR="00D815FC" w:rsidRPr="00940D83">
        <w:t xml:space="preserve">Traditional block models and homogenised scheduling frameworks often fail to capture the complex spatial and temporal variability of gold mineralisation. This </w:t>
      </w:r>
      <w:r w:rsidR="00151C10" w:rsidRPr="00940D83">
        <w:t>gap</w:t>
      </w:r>
      <w:r w:rsidR="00D815FC" w:rsidRPr="00940D83">
        <w:t xml:space="preserve"> between geological reality and operational assumptions introduces inefficiencies across mining, processing, and value recovery.</w:t>
      </w:r>
    </w:p>
    <w:p w14:paraId="7649E8EB" w14:textId="58BAC770" w:rsidR="00E150C0" w:rsidRPr="00940D83" w:rsidRDefault="00E150C0" w:rsidP="00940D83">
      <w:pPr>
        <w:pStyle w:val="BodyText"/>
      </w:pPr>
      <w:r w:rsidRPr="00940D83">
        <w:t>This study reconstructs mineral paragenesis and fluid evolution using high-resolution geoscientific tools, including backscattered electron scanning electron microscopy (BSE-SEM), the TESCAN Integrated Mineral Analyser (TIMA), micro–X-ray fluorescence (</w:t>
      </w:r>
      <w:proofErr w:type="spellStart"/>
      <w:r w:rsidRPr="00940D83">
        <w:t>μXRF</w:t>
      </w:r>
      <w:proofErr w:type="spellEnd"/>
      <w:r w:rsidRPr="00940D83">
        <w:t>), and laser ablation inductively coupled plasma mass spectrometry (LA-ICP-MS) for uranium–lead dating of accessory minerals such as monazite and xenotime. It integrates these datasets with structural mapping to generate paragenetic chronologies and</w:t>
      </w:r>
      <w:r w:rsidR="00475E17" w:rsidRPr="00940D83">
        <w:t xml:space="preserve"> </w:t>
      </w:r>
      <w:r w:rsidRPr="00940D83">
        <w:t>fluid pathway</w:t>
      </w:r>
      <w:r w:rsidR="00475E17" w:rsidRPr="00940D83">
        <w:t xml:space="preserve"> models.</w:t>
      </w:r>
    </w:p>
    <w:p w14:paraId="0C797516" w14:textId="77777777" w:rsidR="00E150C0" w:rsidRPr="00940D83" w:rsidRDefault="00E150C0" w:rsidP="00940D83">
      <w:pPr>
        <w:pStyle w:val="BodyText"/>
      </w:pPr>
      <w:r w:rsidRPr="00940D83">
        <w:t>Results reveal spatial and temporal compartmentalisation of gold-hosting assemblages that remain undetected by conventional domaining and estimation methods. Incorporating this detail into resource models supports selective mining unit (SMU)-scale scheduling, enhances feed blending strategies, and improves metallurgical performance forecasting, as well as predictability and economic return.</w:t>
      </w:r>
    </w:p>
    <w:p w14:paraId="0379ADB2" w14:textId="31203799" w:rsidR="00C75F6D" w:rsidRPr="00940D83" w:rsidRDefault="00E150C0" w:rsidP="00940D83">
      <w:pPr>
        <w:pStyle w:val="BodyText"/>
      </w:pPr>
      <w:r w:rsidRPr="00940D83">
        <w:t xml:space="preserve">Embedding microstructural and paragenetic data into resource modelling workflows improves ore–waste classification, reduces dilution, and strengthens throughput reliability. Recommendations include integrating in-situ geochronology and structural analysis into estimation models and using this geological intelligence to reconcile model outputs with plant performance. </w:t>
      </w:r>
      <w:r w:rsidR="006B1386" w:rsidRPr="00940D83">
        <w:t>This approach redefines the gold supply chain as an integrated system, where detailed geological insights enhance downstream efficiency, resilience, and value recovery, starting at the thin section.</w:t>
      </w:r>
    </w:p>
    <w:p w14:paraId="180FCC60" w14:textId="77777777" w:rsidR="009A235A" w:rsidRPr="00E150C0" w:rsidRDefault="009A235A" w:rsidP="009A235A">
      <w:pPr>
        <w:pStyle w:val="BodyText"/>
        <w:rPr>
          <w:b/>
          <w:bCs/>
        </w:rPr>
      </w:pPr>
    </w:p>
    <w:p w14:paraId="739423BB" w14:textId="77777777" w:rsidR="00C75F6D" w:rsidRDefault="00C75F6D" w:rsidP="00EF5461">
      <w:pPr>
        <w:pStyle w:val="BodyText"/>
        <w:rPr>
          <w:b/>
          <w:bCs/>
          <w:lang w:val="en-US"/>
        </w:rPr>
      </w:pPr>
    </w:p>
    <w:p w14:paraId="4626E5F3" w14:textId="77777777" w:rsidR="00C75F6D" w:rsidRDefault="00C75F6D" w:rsidP="00EF5461">
      <w:pPr>
        <w:pStyle w:val="BodyText"/>
        <w:rPr>
          <w:b/>
          <w:bCs/>
          <w:lang w:val="en-US"/>
        </w:rPr>
      </w:pPr>
    </w:p>
    <w:p w14:paraId="34E1D568" w14:textId="77777777" w:rsidR="00080A74" w:rsidRDefault="00080A74" w:rsidP="00EF5461">
      <w:pPr>
        <w:pStyle w:val="BodyText"/>
        <w:rPr>
          <w:b/>
          <w:bCs/>
          <w:lang w:val="en-US"/>
        </w:rPr>
      </w:pPr>
    </w:p>
    <w:p w14:paraId="27B496DB" w14:textId="77777777" w:rsidR="00080A74" w:rsidRDefault="00080A74" w:rsidP="00475E17">
      <w:pPr>
        <w:pStyle w:val="BodyText"/>
        <w:ind w:left="720" w:hanging="720"/>
        <w:rPr>
          <w:b/>
          <w:bCs/>
          <w:lang w:val="en-US"/>
        </w:rPr>
      </w:pPr>
    </w:p>
    <w:sectPr w:rsidR="00080A74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E452" w14:textId="77777777" w:rsidR="006314E3" w:rsidRDefault="006314E3">
      <w:r>
        <w:separator/>
      </w:r>
    </w:p>
  </w:endnote>
  <w:endnote w:type="continuationSeparator" w:id="0">
    <w:p w14:paraId="19A538F3" w14:textId="77777777" w:rsidR="006314E3" w:rsidRDefault="006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BE6C" w14:textId="77777777" w:rsidR="006314E3" w:rsidRDefault="006314E3">
      <w:r>
        <w:separator/>
      </w:r>
    </w:p>
  </w:footnote>
  <w:footnote w:type="continuationSeparator" w:id="0">
    <w:p w14:paraId="292542D2" w14:textId="77777777" w:rsidR="006314E3" w:rsidRDefault="0063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0582803">
    <w:abstractNumId w:val="9"/>
  </w:num>
  <w:num w:numId="2" w16cid:durableId="1749113621">
    <w:abstractNumId w:val="7"/>
  </w:num>
  <w:num w:numId="3" w16cid:durableId="866672994">
    <w:abstractNumId w:val="6"/>
  </w:num>
  <w:num w:numId="4" w16cid:durableId="1757047061">
    <w:abstractNumId w:val="5"/>
  </w:num>
  <w:num w:numId="5" w16cid:durableId="35668878">
    <w:abstractNumId w:val="4"/>
  </w:num>
  <w:num w:numId="6" w16cid:durableId="377437273">
    <w:abstractNumId w:val="8"/>
  </w:num>
  <w:num w:numId="7" w16cid:durableId="709568463">
    <w:abstractNumId w:val="3"/>
  </w:num>
  <w:num w:numId="8" w16cid:durableId="1528448781">
    <w:abstractNumId w:val="2"/>
  </w:num>
  <w:num w:numId="9" w16cid:durableId="163710285">
    <w:abstractNumId w:val="1"/>
  </w:num>
  <w:num w:numId="10" w16cid:durableId="1855799460">
    <w:abstractNumId w:val="0"/>
  </w:num>
  <w:num w:numId="11" w16cid:durableId="781413706">
    <w:abstractNumId w:val="11"/>
  </w:num>
  <w:num w:numId="12" w16cid:durableId="996224333">
    <w:abstractNumId w:val="14"/>
  </w:num>
  <w:num w:numId="13" w16cid:durableId="1210192434">
    <w:abstractNumId w:val="12"/>
  </w:num>
  <w:num w:numId="14" w16cid:durableId="192041405">
    <w:abstractNumId w:val="10"/>
  </w:num>
  <w:num w:numId="15" w16cid:durableId="1897399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27284"/>
    <w:rsid w:val="00044284"/>
    <w:rsid w:val="0005380A"/>
    <w:rsid w:val="000539D9"/>
    <w:rsid w:val="00056228"/>
    <w:rsid w:val="000576B3"/>
    <w:rsid w:val="00062C4C"/>
    <w:rsid w:val="00071909"/>
    <w:rsid w:val="00071B94"/>
    <w:rsid w:val="00076C77"/>
    <w:rsid w:val="00080A74"/>
    <w:rsid w:val="000847EA"/>
    <w:rsid w:val="0008493B"/>
    <w:rsid w:val="00087503"/>
    <w:rsid w:val="00090461"/>
    <w:rsid w:val="000A07D4"/>
    <w:rsid w:val="000A24E2"/>
    <w:rsid w:val="000A3E3D"/>
    <w:rsid w:val="000B09C1"/>
    <w:rsid w:val="000B7911"/>
    <w:rsid w:val="000B7C5B"/>
    <w:rsid w:val="000B7ED9"/>
    <w:rsid w:val="000E6647"/>
    <w:rsid w:val="000F4F51"/>
    <w:rsid w:val="000F7BEB"/>
    <w:rsid w:val="0012093E"/>
    <w:rsid w:val="001340DE"/>
    <w:rsid w:val="00140F21"/>
    <w:rsid w:val="001512FC"/>
    <w:rsid w:val="00151C10"/>
    <w:rsid w:val="00152960"/>
    <w:rsid w:val="00191C29"/>
    <w:rsid w:val="001949C2"/>
    <w:rsid w:val="001A56DE"/>
    <w:rsid w:val="001A66CB"/>
    <w:rsid w:val="001B29A1"/>
    <w:rsid w:val="001B391A"/>
    <w:rsid w:val="001E77F5"/>
    <w:rsid w:val="00203502"/>
    <w:rsid w:val="0020661E"/>
    <w:rsid w:val="00206896"/>
    <w:rsid w:val="0021407D"/>
    <w:rsid w:val="00235864"/>
    <w:rsid w:val="0024471A"/>
    <w:rsid w:val="00254B82"/>
    <w:rsid w:val="00254DC0"/>
    <w:rsid w:val="00255DA9"/>
    <w:rsid w:val="002576A5"/>
    <w:rsid w:val="00261226"/>
    <w:rsid w:val="00266688"/>
    <w:rsid w:val="00266BBC"/>
    <w:rsid w:val="00285F41"/>
    <w:rsid w:val="002E5E4D"/>
    <w:rsid w:val="002E632B"/>
    <w:rsid w:val="002F11EA"/>
    <w:rsid w:val="002F67B8"/>
    <w:rsid w:val="00311704"/>
    <w:rsid w:val="00315E20"/>
    <w:rsid w:val="0031798F"/>
    <w:rsid w:val="003200A5"/>
    <w:rsid w:val="003224B3"/>
    <w:rsid w:val="00323BF8"/>
    <w:rsid w:val="00326A23"/>
    <w:rsid w:val="00347EA6"/>
    <w:rsid w:val="0035381A"/>
    <w:rsid w:val="00364570"/>
    <w:rsid w:val="00374A58"/>
    <w:rsid w:val="0038184B"/>
    <w:rsid w:val="003A3818"/>
    <w:rsid w:val="003B4383"/>
    <w:rsid w:val="003C38DF"/>
    <w:rsid w:val="003D01EC"/>
    <w:rsid w:val="003D0D25"/>
    <w:rsid w:val="003F60D1"/>
    <w:rsid w:val="00400B42"/>
    <w:rsid w:val="00404564"/>
    <w:rsid w:val="0040487C"/>
    <w:rsid w:val="00407EF8"/>
    <w:rsid w:val="0043582B"/>
    <w:rsid w:val="00475E17"/>
    <w:rsid w:val="00483270"/>
    <w:rsid w:val="00492847"/>
    <w:rsid w:val="004A2DF7"/>
    <w:rsid w:val="004E148E"/>
    <w:rsid w:val="004E2D81"/>
    <w:rsid w:val="004E6DBA"/>
    <w:rsid w:val="004E78B1"/>
    <w:rsid w:val="005055EC"/>
    <w:rsid w:val="00510776"/>
    <w:rsid w:val="0052016E"/>
    <w:rsid w:val="005246DC"/>
    <w:rsid w:val="00526B81"/>
    <w:rsid w:val="00535EFA"/>
    <w:rsid w:val="00551CAC"/>
    <w:rsid w:val="005833A5"/>
    <w:rsid w:val="00590432"/>
    <w:rsid w:val="00590E0F"/>
    <w:rsid w:val="005E76A9"/>
    <w:rsid w:val="00600101"/>
    <w:rsid w:val="00625F99"/>
    <w:rsid w:val="006270DA"/>
    <w:rsid w:val="006314E3"/>
    <w:rsid w:val="00647198"/>
    <w:rsid w:val="00673B21"/>
    <w:rsid w:val="00682D6E"/>
    <w:rsid w:val="00693B5F"/>
    <w:rsid w:val="006B1386"/>
    <w:rsid w:val="006C6E6B"/>
    <w:rsid w:val="006F6DB4"/>
    <w:rsid w:val="006F71F8"/>
    <w:rsid w:val="007216E3"/>
    <w:rsid w:val="007253A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471FA"/>
    <w:rsid w:val="00850D8F"/>
    <w:rsid w:val="00883864"/>
    <w:rsid w:val="00896A0A"/>
    <w:rsid w:val="008C76EC"/>
    <w:rsid w:val="008E072B"/>
    <w:rsid w:val="008E2DAA"/>
    <w:rsid w:val="008E448C"/>
    <w:rsid w:val="008F0BEC"/>
    <w:rsid w:val="0091768B"/>
    <w:rsid w:val="00924529"/>
    <w:rsid w:val="00931A22"/>
    <w:rsid w:val="00940D83"/>
    <w:rsid w:val="00967A00"/>
    <w:rsid w:val="00967BED"/>
    <w:rsid w:val="00976B97"/>
    <w:rsid w:val="00983841"/>
    <w:rsid w:val="009963AB"/>
    <w:rsid w:val="009A235A"/>
    <w:rsid w:val="009C391E"/>
    <w:rsid w:val="009C6AB8"/>
    <w:rsid w:val="009D305A"/>
    <w:rsid w:val="009D75D4"/>
    <w:rsid w:val="009E0640"/>
    <w:rsid w:val="009E3E14"/>
    <w:rsid w:val="009F0A4C"/>
    <w:rsid w:val="00A00C4B"/>
    <w:rsid w:val="00A0398A"/>
    <w:rsid w:val="00A306E3"/>
    <w:rsid w:val="00A4321D"/>
    <w:rsid w:val="00A455F6"/>
    <w:rsid w:val="00A46C5E"/>
    <w:rsid w:val="00A46CB6"/>
    <w:rsid w:val="00A57586"/>
    <w:rsid w:val="00A6466C"/>
    <w:rsid w:val="00AA6902"/>
    <w:rsid w:val="00AD3D46"/>
    <w:rsid w:val="00B034FF"/>
    <w:rsid w:val="00B31188"/>
    <w:rsid w:val="00B34BF5"/>
    <w:rsid w:val="00B46B78"/>
    <w:rsid w:val="00B50C32"/>
    <w:rsid w:val="00B51804"/>
    <w:rsid w:val="00B55882"/>
    <w:rsid w:val="00B628F5"/>
    <w:rsid w:val="00B6294C"/>
    <w:rsid w:val="00B66294"/>
    <w:rsid w:val="00B676F5"/>
    <w:rsid w:val="00B92838"/>
    <w:rsid w:val="00B92C70"/>
    <w:rsid w:val="00B933F6"/>
    <w:rsid w:val="00BA117E"/>
    <w:rsid w:val="00BA27FA"/>
    <w:rsid w:val="00BA4C9A"/>
    <w:rsid w:val="00BB18DA"/>
    <w:rsid w:val="00BC75D7"/>
    <w:rsid w:val="00BD1080"/>
    <w:rsid w:val="00BD5800"/>
    <w:rsid w:val="00BD6A05"/>
    <w:rsid w:val="00BF2F28"/>
    <w:rsid w:val="00BF4497"/>
    <w:rsid w:val="00BF5A89"/>
    <w:rsid w:val="00C169DA"/>
    <w:rsid w:val="00C62C5F"/>
    <w:rsid w:val="00C75F6D"/>
    <w:rsid w:val="00C96F52"/>
    <w:rsid w:val="00CA36DC"/>
    <w:rsid w:val="00CD4BE0"/>
    <w:rsid w:val="00D07440"/>
    <w:rsid w:val="00D20437"/>
    <w:rsid w:val="00D32FF0"/>
    <w:rsid w:val="00D52DFF"/>
    <w:rsid w:val="00D61BEC"/>
    <w:rsid w:val="00D6226A"/>
    <w:rsid w:val="00D752DE"/>
    <w:rsid w:val="00D75487"/>
    <w:rsid w:val="00D815FC"/>
    <w:rsid w:val="00DC6DCC"/>
    <w:rsid w:val="00DD17A6"/>
    <w:rsid w:val="00E150C0"/>
    <w:rsid w:val="00E2116F"/>
    <w:rsid w:val="00E242F3"/>
    <w:rsid w:val="00E64D31"/>
    <w:rsid w:val="00E66B1D"/>
    <w:rsid w:val="00EA3DCF"/>
    <w:rsid w:val="00EB4016"/>
    <w:rsid w:val="00ED0EDB"/>
    <w:rsid w:val="00ED3888"/>
    <w:rsid w:val="00EE3A6F"/>
    <w:rsid w:val="00EF5461"/>
    <w:rsid w:val="00F0164A"/>
    <w:rsid w:val="00F22067"/>
    <w:rsid w:val="00F2432C"/>
    <w:rsid w:val="00F278F9"/>
    <w:rsid w:val="00F27DB1"/>
    <w:rsid w:val="00F42E69"/>
    <w:rsid w:val="00F60A66"/>
    <w:rsid w:val="00F6470B"/>
    <w:rsid w:val="00F73DB1"/>
    <w:rsid w:val="00F80210"/>
    <w:rsid w:val="00F839B1"/>
    <w:rsid w:val="00FC5E0F"/>
    <w:rsid w:val="00FE3246"/>
    <w:rsid w:val="00FE59FE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71B0DB83-7EDF-40C7-84E7-BCD9B1B7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940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kahtanne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Face sheet…</vt:lpstr>
      <vt:lpstr>Face sheet…</vt:lpstr>
    </vt:vector>
  </TitlesOfParts>
  <Company>AIMM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dc:description/>
  <cp:lastModifiedBy>Julie Allen</cp:lastModifiedBy>
  <cp:revision>2</cp:revision>
  <dcterms:created xsi:type="dcterms:W3CDTF">2025-08-25T06:14:00Z</dcterms:created>
  <dcterms:modified xsi:type="dcterms:W3CDTF">2025-08-25T06:14:00Z</dcterms:modified>
</cp:coreProperties>
</file>