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188B3E9D" w:rsidR="00255DA9" w:rsidRPr="00261226" w:rsidRDefault="00276FBA" w:rsidP="00255DA9">
      <w:pPr>
        <w:pStyle w:val="Title"/>
      </w:pPr>
      <w:r>
        <w:t>Estimation Risk Related to Drillhole Location</w:t>
      </w:r>
      <w:r w:rsidR="009A12AD">
        <w:t xml:space="preserve"> – </w:t>
      </w:r>
      <w:r w:rsidR="009A12AD" w:rsidRPr="009A12AD">
        <w:t>are you sure that</w:t>
      </w:r>
      <w:r w:rsidR="00C64BA2">
        <w:t xml:space="preserve"> the</w:t>
      </w:r>
      <w:r w:rsidR="009A12AD" w:rsidRPr="009A12AD">
        <w:t xml:space="preserve"> global histogram of your drill hole data matches that of the resource? </w:t>
      </w:r>
      <w:r w:rsidR="00676C79">
        <w:t>Some c</w:t>
      </w:r>
      <w:r w:rsidR="00EC50C4">
        <w:t xml:space="preserve">ase </w:t>
      </w:r>
      <w:proofErr w:type="gramStart"/>
      <w:r w:rsidR="00C64BA2">
        <w:t>s</w:t>
      </w:r>
      <w:r w:rsidR="00EC50C4">
        <w:t>tudies.</w:t>
      </w:r>
      <w:r w:rsidR="00676C79">
        <w:t>.</w:t>
      </w:r>
      <w:proofErr w:type="gramEnd"/>
      <w:r w:rsidR="00676C79">
        <w:t xml:space="preserve"> .</w:t>
      </w:r>
    </w:p>
    <w:p w14:paraId="495EDF19" w14:textId="04BD43FE" w:rsidR="00255DA9" w:rsidRDefault="00F517AB" w:rsidP="00255DA9">
      <w:pPr>
        <w:pStyle w:val="Authors"/>
      </w:pPr>
      <w:r w:rsidRPr="00276FBA">
        <w:t>J Moore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t>D Corley</w:t>
      </w:r>
      <w:r w:rsidR="00255DA9" w:rsidRPr="00745768">
        <w:rPr>
          <w:vertAlign w:val="superscript"/>
        </w:rPr>
        <w:t>2</w:t>
      </w:r>
      <w:r w:rsidR="00255DA9" w:rsidRPr="001A66CB">
        <w:t xml:space="preserve"> </w:t>
      </w:r>
      <w:r w:rsidR="004112E7">
        <w:t>W Randa</w:t>
      </w:r>
      <w:r w:rsidR="004112E7" w:rsidRPr="0045165B">
        <w:rPr>
          <w:vertAlign w:val="superscript"/>
        </w:rPr>
        <w:t>3</w:t>
      </w:r>
      <w:r w:rsidR="004112E7" w:rsidRPr="005E76A9">
        <w:t xml:space="preserve"> </w:t>
      </w:r>
      <w:r w:rsidR="00255DA9" w:rsidRPr="001A66CB">
        <w:t xml:space="preserve">and </w:t>
      </w:r>
      <w:bookmarkStart w:id="0" w:name="_Hlk122442823"/>
      <w:r w:rsidR="004112E7">
        <w:t>M</w:t>
      </w:r>
      <w:r>
        <w:t xml:space="preserve"> </w:t>
      </w:r>
      <w:r w:rsidR="004112E7">
        <w:t>Grant</w:t>
      </w:r>
      <w:r w:rsidR="004112E7">
        <w:rPr>
          <w:vertAlign w:val="superscript"/>
        </w:rPr>
        <w:t>4</w:t>
      </w:r>
      <w:r w:rsidR="00255DA9" w:rsidRPr="005E76A9">
        <w:t xml:space="preserve"> </w:t>
      </w:r>
      <w:bookmarkEnd w:id="0"/>
    </w:p>
    <w:p w14:paraId="6C9A0D68" w14:textId="342FBB5A" w:rsidR="00255DA9" w:rsidRDefault="00255DA9" w:rsidP="00830F91">
      <w:pPr>
        <w:pStyle w:val="AuthorsDetails"/>
      </w:pPr>
      <w:r>
        <w:t>1.</w:t>
      </w:r>
      <w:bookmarkStart w:id="1" w:name="_Hlk120706675"/>
      <w:r w:rsidR="00F517AB">
        <w:t>Chief Geologist</w:t>
      </w:r>
      <w:r>
        <w:t xml:space="preserve">, </w:t>
      </w:r>
      <w:proofErr w:type="spellStart"/>
      <w:r w:rsidR="00F517AB">
        <w:t>Oceanagold</w:t>
      </w:r>
      <w:proofErr w:type="spellEnd"/>
      <w:r>
        <w:t xml:space="preserve">, </w:t>
      </w:r>
      <w:r w:rsidR="00F517AB">
        <w:t>Brisbane</w:t>
      </w:r>
      <w:r>
        <w:t xml:space="preserve"> </w:t>
      </w:r>
      <w:r w:rsidR="00F517AB">
        <w:t>Qld</w:t>
      </w:r>
      <w:r>
        <w:t xml:space="preserve"> </w:t>
      </w:r>
      <w:r w:rsidR="00F517AB">
        <w:t>4101</w:t>
      </w:r>
      <w:r>
        <w:t xml:space="preserve">. </w:t>
      </w:r>
      <w:r w:rsidRPr="00BD1080">
        <w:t>Email</w:t>
      </w:r>
      <w:r>
        <w:t>:</w:t>
      </w:r>
      <w:r w:rsidR="000803F2">
        <w:t xml:space="preserve"> </w:t>
      </w:r>
      <w:r w:rsidR="00F517AB">
        <w:t>Jonathan.moore@oceanagold.com</w:t>
      </w:r>
      <w:bookmarkEnd w:id="1"/>
    </w:p>
    <w:p w14:paraId="6D0139DA" w14:textId="5B4654CA" w:rsidR="00255DA9" w:rsidRDefault="00255DA9" w:rsidP="00255DA9">
      <w:pPr>
        <w:pStyle w:val="AuthorsDetails"/>
      </w:pPr>
      <w:r w:rsidRPr="00BD1080">
        <w:t>2.</w:t>
      </w:r>
      <w:r w:rsidR="00F517AB">
        <w:t xml:space="preserve">Group Geologist, </w:t>
      </w:r>
      <w:proofErr w:type="spellStart"/>
      <w:r w:rsidR="00F517AB">
        <w:t>Oceanagold</w:t>
      </w:r>
      <w:proofErr w:type="spellEnd"/>
      <w:r w:rsidR="00F517AB">
        <w:t xml:space="preserve">, Brisbane Qld 4101. </w:t>
      </w:r>
      <w:r w:rsidR="00F517AB" w:rsidRPr="00BD1080">
        <w:t>Email</w:t>
      </w:r>
      <w:r w:rsidR="00F517AB">
        <w:t>:</w:t>
      </w:r>
      <w:r w:rsidR="000803F2">
        <w:t xml:space="preserve"> </w:t>
      </w:r>
      <w:r w:rsidR="00F517AB">
        <w:t>doug.corley@oceanagold.com</w:t>
      </w:r>
    </w:p>
    <w:p w14:paraId="63154FC3" w14:textId="3ECDD4D0" w:rsidR="00255DA9" w:rsidRDefault="00255DA9" w:rsidP="00255DA9">
      <w:pPr>
        <w:pStyle w:val="AuthorsDetails"/>
      </w:pPr>
      <w:r w:rsidRPr="00BD1080">
        <w:t>3.</w:t>
      </w:r>
      <w:r w:rsidR="00F517AB">
        <w:t xml:space="preserve">Principal Geologist, </w:t>
      </w:r>
      <w:proofErr w:type="spellStart"/>
      <w:r w:rsidR="00F517AB">
        <w:t>Oceanagold</w:t>
      </w:r>
      <w:proofErr w:type="spellEnd"/>
      <w:r w:rsidR="00F517AB">
        <w:t xml:space="preserve">, Brisbane Qld 4101. </w:t>
      </w:r>
      <w:r w:rsidR="00F517AB" w:rsidRPr="00BD1080">
        <w:t>Email</w:t>
      </w:r>
      <w:r w:rsidR="00F517AB">
        <w:t>:</w:t>
      </w:r>
      <w:r w:rsidR="000803F2">
        <w:t xml:space="preserve"> </w:t>
      </w:r>
      <w:hyperlink r:id="rId7" w:history="1">
        <w:r w:rsidR="009805DC" w:rsidRPr="003E01B7">
          <w:rPr>
            <w:rStyle w:val="Hyperlink"/>
          </w:rPr>
          <w:t>wesly.randa@oceanagold.com</w:t>
        </w:r>
      </w:hyperlink>
    </w:p>
    <w:p w14:paraId="3F8E682E" w14:textId="3748660B" w:rsidR="009805DC" w:rsidRDefault="009805DC" w:rsidP="00255DA9">
      <w:pPr>
        <w:pStyle w:val="AuthorsDetails"/>
      </w:pPr>
      <w:r>
        <w:t>4.</w:t>
      </w:r>
      <w:r w:rsidR="004112E7">
        <w:t>Senior Geologist</w:t>
      </w:r>
      <w:r w:rsidR="00C64BA2">
        <w:t xml:space="preserve"> </w:t>
      </w:r>
      <w:r w:rsidR="004112E7">
        <w:t>-</w:t>
      </w:r>
      <w:r w:rsidR="00C64BA2">
        <w:t xml:space="preserve"> </w:t>
      </w:r>
      <w:r w:rsidR="004112E7">
        <w:t xml:space="preserve">Resource Definition, </w:t>
      </w:r>
      <w:proofErr w:type="spellStart"/>
      <w:r w:rsidR="004112E7">
        <w:t>Oceanagold</w:t>
      </w:r>
      <w:proofErr w:type="spellEnd"/>
      <w:r w:rsidR="004112E7">
        <w:t xml:space="preserve">, </w:t>
      </w:r>
      <w:proofErr w:type="spellStart"/>
      <w:r w:rsidR="004112E7">
        <w:t>Macraes</w:t>
      </w:r>
      <w:proofErr w:type="spellEnd"/>
      <w:r w:rsidR="004112E7">
        <w:t xml:space="preserve"> NZ. </w:t>
      </w:r>
      <w:r w:rsidR="004112E7" w:rsidRPr="00BD1080">
        <w:t>Email</w:t>
      </w:r>
      <w:r w:rsidR="004112E7">
        <w:t>:</w:t>
      </w:r>
      <w:r w:rsidR="00276FBA">
        <w:t xml:space="preserve"> </w:t>
      </w:r>
      <w:hyperlink r:id="rId8" w:history="1">
        <w:r w:rsidR="00276FBA" w:rsidRPr="003E01B7">
          <w:rPr>
            <w:rStyle w:val="Hyperlink"/>
          </w:rPr>
          <w:t>matt.grant@oceanagold.com</w:t>
        </w:r>
      </w:hyperlink>
    </w:p>
    <w:p w14:paraId="32D5971B" w14:textId="72944F41" w:rsidR="00F42E69" w:rsidRPr="00F42E69" w:rsidRDefault="00F42E69" w:rsidP="00F42E69">
      <w:pPr>
        <w:pStyle w:val="Keywords"/>
        <w:rPr>
          <w:rStyle w:val="BodyTextChar"/>
        </w:rPr>
      </w:pPr>
      <w:bookmarkStart w:id="2" w:name="_Hlk49264075"/>
      <w:r w:rsidRPr="00F42E69">
        <w:t>Keywords:</w:t>
      </w:r>
      <w:r>
        <w:t xml:space="preserve"> </w:t>
      </w:r>
      <w:r w:rsidR="00EC50C4">
        <w:t xml:space="preserve">estimation risk, </w:t>
      </w:r>
      <w:r w:rsidR="000803F2">
        <w:t xml:space="preserve">drill hole location </w:t>
      </w:r>
      <w:r w:rsidR="00EC50C4">
        <w:t>risk</w:t>
      </w:r>
      <w:r w:rsidR="000803F2">
        <w:t xml:space="preserve">, </w:t>
      </w:r>
      <w:r w:rsidR="00EC50C4">
        <w:t>moving point-of-origin,</w:t>
      </w:r>
      <w:r w:rsidR="00B85A32">
        <w:t xml:space="preserve"> pre-mining, post-mining, sensitivity estimates</w:t>
      </w:r>
    </w:p>
    <w:bookmarkEnd w:id="2"/>
    <w:p w14:paraId="4712AA78" w14:textId="31640E3A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7C816481" w14:textId="48891850" w:rsidR="00EC50C4" w:rsidRDefault="00EC50C4" w:rsidP="00EC50C4">
      <w:pPr>
        <w:pStyle w:val="BodyText"/>
      </w:pPr>
      <w:r>
        <w:t>At the completion of open pit mining, multiple moving point-of-origin resource drill hole data sets were extracted from exhaustive grade control data. Sensitivity analysis of resource estimates generated from the data sets was undertaken (</w:t>
      </w:r>
      <w:r w:rsidR="00AE51AA">
        <w:t>two</w:t>
      </w:r>
      <w:r>
        <w:t xml:space="preserve"> or more OceanaGold </w:t>
      </w:r>
      <w:r w:rsidR="00AE51AA">
        <w:t>case studies will be discussed</w:t>
      </w:r>
      <w:r>
        <w:t xml:space="preserve">): </w:t>
      </w:r>
    </w:p>
    <w:p w14:paraId="0AF9A579" w14:textId="35E549E3" w:rsidR="00EC50C4" w:rsidRDefault="00EC50C4" w:rsidP="00EC50C4">
      <w:pPr>
        <w:pStyle w:val="BodyText"/>
      </w:pPr>
      <w:r>
        <w:t>•</w:t>
      </w:r>
      <w:r>
        <w:tab/>
        <w:t xml:space="preserve">Actual 5m x 5m open pit grade control sample data was extracted onto a 35m x 35m grid to generate a single resource drill hole data set. The grid origin was then shifted 5m east and another extraction completed. </w:t>
      </w:r>
      <w:r w:rsidR="00AE51AA">
        <w:t>Forty-eight</w:t>
      </w:r>
      <w:r>
        <w:t xml:space="preserve"> </w:t>
      </w:r>
      <w:r w:rsidR="00AE51AA">
        <w:t xml:space="preserve">consecutive </w:t>
      </w:r>
      <w:r>
        <w:t xml:space="preserve">east and north shifts ultimately resulted in 49 unique 35m x 35m drill hole sets being created. </w:t>
      </w:r>
      <w:r w:rsidR="00356568">
        <w:t>Note that t</w:t>
      </w:r>
      <w:r>
        <w:t>he 49 drill hole data sets sum to the original exhaustive grade control data set.</w:t>
      </w:r>
    </w:p>
    <w:p w14:paraId="264DC922" w14:textId="03D88A1D" w:rsidR="00EC50C4" w:rsidRDefault="00EC50C4" w:rsidP="00EC50C4">
      <w:pPr>
        <w:pStyle w:val="BodyText"/>
      </w:pPr>
      <w:r>
        <w:t>Comparison between the 49 equally possible drill hole sets identifie</w:t>
      </w:r>
      <w:r w:rsidR="00356568">
        <w:t>d</w:t>
      </w:r>
      <w:r>
        <w:t xml:space="preserve"> a significant risk of </w:t>
      </w:r>
      <w:r w:rsidR="00356568">
        <w:t>selecting a</w:t>
      </w:r>
      <w:r>
        <w:t xml:space="preserve"> </w:t>
      </w:r>
      <w:r w:rsidR="00356568">
        <w:t>35m x 35m</w:t>
      </w:r>
      <w:r>
        <w:t xml:space="preserve"> drill hole data</w:t>
      </w:r>
      <w:r w:rsidR="00356568">
        <w:t xml:space="preserve"> set</w:t>
      </w:r>
      <w:r>
        <w:t xml:space="preserve"> that d</w:t>
      </w:r>
      <w:r w:rsidR="00E614DB">
        <w:t>id</w:t>
      </w:r>
      <w:r>
        <w:t xml:space="preserve"> not </w:t>
      </w:r>
      <w:r w:rsidR="00DE5B1B">
        <w:t xml:space="preserve">globally </w:t>
      </w:r>
      <w:r>
        <w:t xml:space="preserve">represent the resource that </w:t>
      </w:r>
      <w:r w:rsidR="00E614DB">
        <w:t>was being</w:t>
      </w:r>
      <w:r>
        <w:t xml:space="preserve"> model</w:t>
      </w:r>
      <w:r w:rsidR="00E614DB">
        <w:t>led</w:t>
      </w:r>
      <w:r>
        <w:t>.</w:t>
      </w:r>
    </w:p>
    <w:p w14:paraId="1129DD58" w14:textId="1FE7D0A4" w:rsidR="00EC50C4" w:rsidRDefault="00EC50C4" w:rsidP="00EC50C4">
      <w:pPr>
        <w:pStyle w:val="BodyText"/>
      </w:pPr>
      <w:r>
        <w:t>•</w:t>
      </w:r>
      <w:r>
        <w:tab/>
        <w:t xml:space="preserve">To quantify </w:t>
      </w:r>
      <w:r w:rsidR="00AE7B2F">
        <w:t xml:space="preserve">the potential impact of </w:t>
      </w:r>
      <w:r>
        <w:t xml:space="preserve">this, 49 recoverable resource estimates using </w:t>
      </w:r>
      <w:r w:rsidR="00AE7B2F">
        <w:t>M</w:t>
      </w:r>
      <w:r>
        <w:t xml:space="preserve">ultiple </w:t>
      </w:r>
      <w:r w:rsidR="00AE7B2F">
        <w:t>I</w:t>
      </w:r>
      <w:r>
        <w:t>ndicator Kriging (MIK) were completed, with the only changes being the input data and the indicator thresholds / means applied.</w:t>
      </w:r>
      <w:r w:rsidR="00AE7B2F">
        <w:t xml:space="preserve"> </w:t>
      </w:r>
      <w:r w:rsidR="00E92D82">
        <w:t>Any spread in the estimates attributed solely to the underlying data.</w:t>
      </w:r>
    </w:p>
    <w:p w14:paraId="0E1D3118" w14:textId="3A73E4A0" w:rsidR="00EC50C4" w:rsidRDefault="00EC50C4" w:rsidP="00EC50C4">
      <w:pPr>
        <w:pStyle w:val="BodyText"/>
      </w:pPr>
      <w:r>
        <w:t>The spread of sensitivity estimates</w:t>
      </w:r>
      <w:r w:rsidR="00277A64">
        <w:t xml:space="preserve"> for case studies,</w:t>
      </w:r>
      <w:r w:rsidR="00A93314">
        <w:t xml:space="preserve"> </w:t>
      </w:r>
      <w:r w:rsidR="00277A64">
        <w:t xml:space="preserve">based on 35m x 35m drill hole spacings, </w:t>
      </w:r>
      <w:r w:rsidR="00A93314">
        <w:t>was found to be</w:t>
      </w:r>
      <w:r>
        <w:t xml:space="preserve"> </w:t>
      </w:r>
      <w:r w:rsidR="00A93314">
        <w:t>globally</w:t>
      </w:r>
      <w:r w:rsidR="00277A64">
        <w:t xml:space="preserve"> </w:t>
      </w:r>
      <w:r w:rsidR="00A93314">
        <w:t>significant</w:t>
      </w:r>
      <w:r w:rsidR="00277A64">
        <w:t>.</w:t>
      </w:r>
    </w:p>
    <w:p w14:paraId="261C02E9" w14:textId="12322327" w:rsidR="00277A64" w:rsidRDefault="00EC50C4" w:rsidP="00EC50C4">
      <w:pPr>
        <w:pStyle w:val="BodyText"/>
      </w:pPr>
      <w:r>
        <w:t xml:space="preserve">Given that prior to mining, it is not possible to know whether our drill hole data globally represents the resource that </w:t>
      </w:r>
      <w:r w:rsidR="00452F23">
        <w:t>we</w:t>
      </w:r>
      <w:r>
        <w:t xml:space="preserve"> are modelling</w:t>
      </w:r>
      <w:r w:rsidR="00B85A32">
        <w:t>:</w:t>
      </w:r>
      <w:r>
        <w:t xml:space="preserve"> </w:t>
      </w:r>
    </w:p>
    <w:p w14:paraId="43EE27BB" w14:textId="03527F33" w:rsidR="00B679A8" w:rsidRDefault="00B679A8" w:rsidP="00B679A8">
      <w:pPr>
        <w:pStyle w:val="BodyText"/>
        <w:numPr>
          <w:ilvl w:val="0"/>
          <w:numId w:val="16"/>
        </w:numPr>
      </w:pPr>
      <w:r>
        <w:t xml:space="preserve">How do we capture this risk? </w:t>
      </w:r>
      <w:r>
        <w:t xml:space="preserve">For instance, </w:t>
      </w:r>
      <w:r>
        <w:t xml:space="preserve">Conditional Simulation, </w:t>
      </w:r>
      <w:r w:rsidR="00D02455">
        <w:t>a widely used</w:t>
      </w:r>
      <w:r>
        <w:t xml:space="preserve"> risk evaluation tool, assumes a representative data set (</w:t>
      </w:r>
      <w:proofErr w:type="gramStart"/>
      <w:r>
        <w:t>e.g.</w:t>
      </w:r>
      <w:proofErr w:type="gramEnd"/>
      <w:r>
        <w:t xml:space="preserve"> </w:t>
      </w:r>
      <w:r>
        <w:t>variogram and histogram). The case-</w:t>
      </w:r>
      <w:proofErr w:type="gramStart"/>
      <w:r>
        <w:t>studies</w:t>
      </w:r>
      <w:proofErr w:type="gramEnd"/>
      <w:r>
        <w:t xml:space="preserve"> however, show that this cannot be assumed and cast doubt on this approach to risk-evaluation.</w:t>
      </w:r>
    </w:p>
    <w:p w14:paraId="7F2B377F" w14:textId="7B26F682" w:rsidR="00D02455" w:rsidRDefault="00D02455" w:rsidP="00D02455">
      <w:pPr>
        <w:pStyle w:val="BodyText"/>
        <w:numPr>
          <w:ilvl w:val="0"/>
          <w:numId w:val="16"/>
        </w:numPr>
      </w:pPr>
      <w:r>
        <w:t>How do we accommodate this risk in resource classification?</w:t>
      </w:r>
      <w:r w:rsidRPr="00277A64">
        <w:t xml:space="preserve"> </w:t>
      </w:r>
    </w:p>
    <w:p w14:paraId="095431F6" w14:textId="579C69EB" w:rsidR="00B85A32" w:rsidRDefault="00B85A32" w:rsidP="00B85A32">
      <w:pPr>
        <w:pStyle w:val="BodyText"/>
      </w:pPr>
      <w:r>
        <w:t xml:space="preserve">As mining advances: </w:t>
      </w:r>
    </w:p>
    <w:p w14:paraId="65CAFFEF" w14:textId="159F49F8" w:rsidR="00323DCA" w:rsidRDefault="00B85A32" w:rsidP="00277A64">
      <w:pPr>
        <w:pStyle w:val="BodyText"/>
        <w:numPr>
          <w:ilvl w:val="0"/>
          <w:numId w:val="16"/>
        </w:numPr>
      </w:pPr>
      <w:r>
        <w:t xml:space="preserve">How do we </w:t>
      </w:r>
      <w:r w:rsidR="00323DCA">
        <w:t xml:space="preserve">interpret and understand </w:t>
      </w:r>
      <w:r w:rsidR="00277A64" w:rsidRPr="00277A64">
        <w:t>reconciliation</w:t>
      </w:r>
      <w:r w:rsidR="00323DCA">
        <w:t xml:space="preserve">?  </w:t>
      </w:r>
    </w:p>
    <w:p w14:paraId="7E05CE1B" w14:textId="6B67EC8E" w:rsidR="00277A64" w:rsidRDefault="00B85A32" w:rsidP="00277A64">
      <w:pPr>
        <w:pStyle w:val="BodyText"/>
        <w:numPr>
          <w:ilvl w:val="0"/>
          <w:numId w:val="16"/>
        </w:numPr>
      </w:pPr>
      <w:r>
        <w:t xml:space="preserve">At what point do we adjust our </w:t>
      </w:r>
      <w:r w:rsidR="00C64BA2">
        <w:t xml:space="preserve">estimation </w:t>
      </w:r>
      <w:r>
        <w:t xml:space="preserve">parameters to </w:t>
      </w:r>
      <w:r w:rsidR="00E92D82">
        <w:t>“</w:t>
      </w:r>
      <w:r>
        <w:t>improve</w:t>
      </w:r>
      <w:r w:rsidR="00E92D82">
        <w:t>”</w:t>
      </w:r>
      <w:r>
        <w:t xml:space="preserve"> reconciliation?</w:t>
      </w:r>
    </w:p>
    <w:p w14:paraId="079EC01F" w14:textId="77777777" w:rsidR="00563283" w:rsidRDefault="00563283" w:rsidP="00563283">
      <w:pPr>
        <w:pStyle w:val="BodyText"/>
      </w:pPr>
    </w:p>
    <w:p w14:paraId="13542A03" w14:textId="2AC9C265" w:rsidR="00563283" w:rsidRDefault="00563283" w:rsidP="00563283">
      <w:pPr>
        <w:pStyle w:val="BodyText"/>
      </w:pPr>
      <w:r>
        <w:t>Case studies below provide a framework to answer some of these questions.</w:t>
      </w:r>
    </w:p>
    <w:p w14:paraId="11542DC3" w14:textId="77777777" w:rsidR="00A93314" w:rsidRDefault="00A93314" w:rsidP="00EC50C4">
      <w:pPr>
        <w:pStyle w:val="BodyText"/>
      </w:pPr>
    </w:p>
    <w:sectPr w:rsidR="00A93314" w:rsidSect="001B391A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7C6B" w14:textId="77777777" w:rsidR="007A041D" w:rsidRDefault="007A041D">
      <w:r>
        <w:separator/>
      </w:r>
    </w:p>
  </w:endnote>
  <w:endnote w:type="continuationSeparator" w:id="0">
    <w:p w14:paraId="59762926" w14:textId="77777777" w:rsidR="007A041D" w:rsidRDefault="007A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927C" w14:textId="77777777" w:rsidR="007A041D" w:rsidRDefault="007A041D">
      <w:r>
        <w:separator/>
      </w:r>
    </w:p>
  </w:footnote>
  <w:footnote w:type="continuationSeparator" w:id="0">
    <w:p w14:paraId="6D726F5B" w14:textId="77777777" w:rsidR="007A041D" w:rsidRDefault="007A0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82615"/>
    <w:multiLevelType w:val="hybridMultilevel"/>
    <w:tmpl w:val="38661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3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03F2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41C64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76FBA"/>
    <w:rsid w:val="00277A64"/>
    <w:rsid w:val="002E632B"/>
    <w:rsid w:val="002F67B8"/>
    <w:rsid w:val="00311704"/>
    <w:rsid w:val="00315E20"/>
    <w:rsid w:val="0031798F"/>
    <w:rsid w:val="003200A5"/>
    <w:rsid w:val="00323DCA"/>
    <w:rsid w:val="00347EA6"/>
    <w:rsid w:val="0035381A"/>
    <w:rsid w:val="00356568"/>
    <w:rsid w:val="00364570"/>
    <w:rsid w:val="00374A58"/>
    <w:rsid w:val="0038184B"/>
    <w:rsid w:val="003D0D25"/>
    <w:rsid w:val="003F60D1"/>
    <w:rsid w:val="00400B42"/>
    <w:rsid w:val="00404564"/>
    <w:rsid w:val="0040487C"/>
    <w:rsid w:val="004112E7"/>
    <w:rsid w:val="0043582B"/>
    <w:rsid w:val="00452F23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63283"/>
    <w:rsid w:val="005833A5"/>
    <w:rsid w:val="00590432"/>
    <w:rsid w:val="005E76A9"/>
    <w:rsid w:val="00600101"/>
    <w:rsid w:val="00625F99"/>
    <w:rsid w:val="00647198"/>
    <w:rsid w:val="00676C79"/>
    <w:rsid w:val="00693B5F"/>
    <w:rsid w:val="006C24E7"/>
    <w:rsid w:val="006F6DB4"/>
    <w:rsid w:val="006F71F8"/>
    <w:rsid w:val="007216E3"/>
    <w:rsid w:val="007550DD"/>
    <w:rsid w:val="00773305"/>
    <w:rsid w:val="007857CC"/>
    <w:rsid w:val="007A041D"/>
    <w:rsid w:val="007A3B10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05DC"/>
    <w:rsid w:val="00983841"/>
    <w:rsid w:val="009963AB"/>
    <w:rsid w:val="009A12AD"/>
    <w:rsid w:val="009D305A"/>
    <w:rsid w:val="009D75D4"/>
    <w:rsid w:val="009E0640"/>
    <w:rsid w:val="009F0A4C"/>
    <w:rsid w:val="00A0398A"/>
    <w:rsid w:val="00A306E3"/>
    <w:rsid w:val="00A46C5E"/>
    <w:rsid w:val="00A52837"/>
    <w:rsid w:val="00A57586"/>
    <w:rsid w:val="00A93314"/>
    <w:rsid w:val="00AA6902"/>
    <w:rsid w:val="00AD3D46"/>
    <w:rsid w:val="00AE51AA"/>
    <w:rsid w:val="00AE7B2F"/>
    <w:rsid w:val="00B034FF"/>
    <w:rsid w:val="00B31188"/>
    <w:rsid w:val="00B34BF5"/>
    <w:rsid w:val="00B628F5"/>
    <w:rsid w:val="00B6294C"/>
    <w:rsid w:val="00B66294"/>
    <w:rsid w:val="00B676F5"/>
    <w:rsid w:val="00B679A8"/>
    <w:rsid w:val="00B85A32"/>
    <w:rsid w:val="00B933F6"/>
    <w:rsid w:val="00BB18DA"/>
    <w:rsid w:val="00BD1080"/>
    <w:rsid w:val="00BD5800"/>
    <w:rsid w:val="00BD6A05"/>
    <w:rsid w:val="00BF5A89"/>
    <w:rsid w:val="00C169DA"/>
    <w:rsid w:val="00C3287B"/>
    <w:rsid w:val="00C64BA2"/>
    <w:rsid w:val="00C96F52"/>
    <w:rsid w:val="00CA36DC"/>
    <w:rsid w:val="00D02455"/>
    <w:rsid w:val="00D07440"/>
    <w:rsid w:val="00D20437"/>
    <w:rsid w:val="00D6226A"/>
    <w:rsid w:val="00D752DE"/>
    <w:rsid w:val="00DD17A6"/>
    <w:rsid w:val="00DE5B1B"/>
    <w:rsid w:val="00E2116F"/>
    <w:rsid w:val="00E242F3"/>
    <w:rsid w:val="00E614DB"/>
    <w:rsid w:val="00E64D31"/>
    <w:rsid w:val="00E92D82"/>
    <w:rsid w:val="00EC50C4"/>
    <w:rsid w:val="00ED0EDB"/>
    <w:rsid w:val="00ED3888"/>
    <w:rsid w:val="00F22067"/>
    <w:rsid w:val="00F2432C"/>
    <w:rsid w:val="00F278F9"/>
    <w:rsid w:val="00F42E69"/>
    <w:rsid w:val="00F46D00"/>
    <w:rsid w:val="00F517AB"/>
    <w:rsid w:val="00F80210"/>
    <w:rsid w:val="00FC5E0F"/>
    <w:rsid w:val="00FE59FE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980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.grant@oceanago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sly.randa@oceanago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Jonathan Moore</cp:lastModifiedBy>
  <cp:revision>10</cp:revision>
  <dcterms:created xsi:type="dcterms:W3CDTF">2022-12-20T07:10:00Z</dcterms:created>
  <dcterms:modified xsi:type="dcterms:W3CDTF">2022-12-20T07:56:00Z</dcterms:modified>
</cp:coreProperties>
</file>