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8CD0F" w14:textId="77777777" w:rsidR="00C05B20" w:rsidRDefault="00C05B20" w:rsidP="00C05B20">
      <w:pPr>
        <w:pStyle w:val="Authors"/>
        <w:jc w:val="center"/>
        <w:rPr>
          <w:rFonts w:cs="Arial"/>
          <w:b/>
          <w:bCs/>
          <w:i w:val="0"/>
          <w:kern w:val="28"/>
          <w:sz w:val="28"/>
          <w:szCs w:val="32"/>
          <w:lang w:val="en-US"/>
        </w:rPr>
      </w:pPr>
      <w:r w:rsidRPr="00C05B20">
        <w:rPr>
          <w:rFonts w:cs="Arial"/>
          <w:b/>
          <w:bCs/>
          <w:i w:val="0"/>
          <w:kern w:val="28"/>
          <w:sz w:val="28"/>
          <w:szCs w:val="32"/>
          <w:lang w:val="en-US"/>
        </w:rPr>
        <w:t xml:space="preserve">Feedback on long-term integrity of </w:t>
      </w:r>
      <w:proofErr w:type="gramStart"/>
      <w:r w:rsidRPr="00C05B20">
        <w:rPr>
          <w:rFonts w:cs="Arial"/>
          <w:b/>
          <w:bCs/>
          <w:i w:val="0"/>
          <w:kern w:val="28"/>
          <w:sz w:val="28"/>
          <w:szCs w:val="32"/>
          <w:lang w:val="en-US"/>
        </w:rPr>
        <w:t>Multi-linear</w:t>
      </w:r>
      <w:proofErr w:type="gramEnd"/>
      <w:r w:rsidRPr="00C05B20">
        <w:rPr>
          <w:rFonts w:cs="Arial"/>
          <w:b/>
          <w:bCs/>
          <w:i w:val="0"/>
          <w:kern w:val="28"/>
          <w:sz w:val="28"/>
          <w:szCs w:val="32"/>
          <w:lang w:val="en-US"/>
        </w:rPr>
        <w:t xml:space="preserve"> drainage </w:t>
      </w:r>
      <w:proofErr w:type="spellStart"/>
      <w:r w:rsidRPr="00C05B20">
        <w:rPr>
          <w:rFonts w:cs="Arial"/>
          <w:b/>
          <w:bCs/>
          <w:i w:val="0"/>
          <w:kern w:val="28"/>
          <w:sz w:val="28"/>
          <w:szCs w:val="32"/>
          <w:lang w:val="en-US"/>
        </w:rPr>
        <w:t>geocomposites</w:t>
      </w:r>
      <w:proofErr w:type="spellEnd"/>
      <w:r w:rsidRPr="00C05B20">
        <w:rPr>
          <w:rFonts w:cs="Arial"/>
          <w:b/>
          <w:bCs/>
          <w:i w:val="0"/>
          <w:kern w:val="28"/>
          <w:sz w:val="28"/>
          <w:szCs w:val="32"/>
          <w:lang w:val="en-US"/>
        </w:rPr>
        <w:t xml:space="preserve"> installed on landfill final covers after 10 and 12 years of operation</w:t>
      </w:r>
    </w:p>
    <w:p w14:paraId="16D369A6" w14:textId="77777777" w:rsidR="00C05B20" w:rsidRDefault="00C05B20" w:rsidP="00255DA9">
      <w:pPr>
        <w:pStyle w:val="Authors"/>
        <w:rPr>
          <w:rFonts w:cs="Arial"/>
          <w:b/>
          <w:bCs/>
          <w:i w:val="0"/>
          <w:kern w:val="28"/>
          <w:sz w:val="28"/>
          <w:szCs w:val="32"/>
          <w:lang w:val="en-US"/>
        </w:rPr>
      </w:pPr>
    </w:p>
    <w:p w14:paraId="51C1B064" w14:textId="3B3CC156" w:rsidR="00C05B20" w:rsidRPr="00C05B20" w:rsidRDefault="00C05B20" w:rsidP="007550DD">
      <w:pPr>
        <w:pStyle w:val="Instructionsandnotesdeleteme"/>
        <w:rPr>
          <w:i/>
          <w:color w:val="auto"/>
        </w:rPr>
      </w:pPr>
      <w:r w:rsidRPr="00C05B20">
        <w:rPr>
          <w:i/>
          <w:color w:val="auto"/>
        </w:rPr>
        <w:t>C. Ciuperca</w:t>
      </w:r>
      <w:r w:rsidRPr="00C05B20">
        <w:rPr>
          <w:i/>
          <w:color w:val="auto"/>
          <w:vertAlign w:val="superscript"/>
        </w:rPr>
        <w:t>1</w:t>
      </w:r>
      <w:r w:rsidRPr="00C05B20">
        <w:rPr>
          <w:i/>
          <w:color w:val="auto"/>
        </w:rPr>
        <w:t xml:space="preserve">, </w:t>
      </w:r>
      <w:r w:rsidRPr="00C05B20">
        <w:rPr>
          <w:i/>
          <w:color w:val="auto"/>
          <w:u w:val="single"/>
        </w:rPr>
        <w:t>P. Saunier</w:t>
      </w:r>
      <w:r w:rsidRPr="00C05B20">
        <w:rPr>
          <w:i/>
          <w:color w:val="auto"/>
          <w:u w:val="single"/>
          <w:vertAlign w:val="superscript"/>
        </w:rPr>
        <w:t>2</w:t>
      </w:r>
      <w:r w:rsidRPr="00C05B20">
        <w:rPr>
          <w:i/>
          <w:color w:val="auto"/>
        </w:rPr>
        <w:t>, and S. Fourmon</w:t>
      </w:r>
      <w:r w:rsidR="0042685F">
        <w:rPr>
          <w:i/>
          <w:color w:val="auto"/>
        </w:rPr>
        <w:t>t</w:t>
      </w:r>
      <w:r w:rsidRPr="00C05B20">
        <w:rPr>
          <w:i/>
          <w:color w:val="auto"/>
          <w:vertAlign w:val="superscript"/>
        </w:rPr>
        <w:t>3</w:t>
      </w:r>
      <w:r w:rsidRPr="00C05B20">
        <w:rPr>
          <w:i/>
          <w:color w:val="auto"/>
        </w:rPr>
        <w:t xml:space="preserve"> </w:t>
      </w:r>
    </w:p>
    <w:p w14:paraId="17952A23" w14:textId="77777777" w:rsidR="00C05B20" w:rsidRDefault="00C05B20" w:rsidP="007550DD">
      <w:pPr>
        <w:pStyle w:val="Instructionsandnotesdeleteme"/>
        <w:rPr>
          <w:i/>
          <w:color w:val="auto"/>
          <w:u w:val="single"/>
        </w:rPr>
      </w:pPr>
    </w:p>
    <w:p w14:paraId="79F55A7D" w14:textId="7FB4873C" w:rsidR="00C05B20" w:rsidRPr="00C05B20" w:rsidRDefault="00C05B20" w:rsidP="00C05B20">
      <w:pPr>
        <w:pStyle w:val="AuthorsDetails"/>
        <w:rPr>
          <w:lang w:val="en-US"/>
        </w:rPr>
      </w:pPr>
      <w:r>
        <w:t xml:space="preserve">1 </w:t>
      </w:r>
      <w:r>
        <w:t xml:space="preserve">Director of Operations, </w:t>
      </w:r>
      <w:r>
        <w:t>Sperling Hansen Associates, 1225 E Keith Rd #8, North Vancouver, BC V7J 1J3, Canada</w:t>
      </w:r>
      <w:r>
        <w:t xml:space="preserve">. </w:t>
      </w:r>
      <w:proofErr w:type="gramStart"/>
      <w:r>
        <w:t>E-mail :</w:t>
      </w:r>
      <w:proofErr w:type="gramEnd"/>
      <w:r w:rsidRPr="00C05B20">
        <w:t xml:space="preserve"> </w:t>
      </w:r>
      <w:r w:rsidRPr="00C05B20">
        <w:t>cciuperca@sperlinghansen.com</w:t>
      </w:r>
    </w:p>
    <w:p w14:paraId="43A1D783" w14:textId="3AA5A4EA" w:rsidR="00255DA9" w:rsidRDefault="00C05B20" w:rsidP="00C05B20">
      <w:pPr>
        <w:pStyle w:val="AuthorsDetails"/>
      </w:pPr>
      <w:r w:rsidRPr="00C05B20">
        <w:rPr>
          <w:lang w:val="en-US"/>
        </w:rPr>
        <w:t xml:space="preserve">2 </w:t>
      </w:r>
      <w:r w:rsidRPr="00C05B20">
        <w:rPr>
          <w:lang w:val="en-US"/>
        </w:rPr>
        <w:t xml:space="preserve">Business Development Manager Pacific, </w:t>
      </w:r>
      <w:r w:rsidRPr="00C05B20">
        <w:rPr>
          <w:lang w:val="en-US"/>
        </w:rPr>
        <w:t xml:space="preserve">AFITEX-Texel Geosynthetics, </w:t>
      </w:r>
      <w:r>
        <w:rPr>
          <w:lang w:val="en-US"/>
        </w:rPr>
        <w:t xml:space="preserve">BP08596 </w:t>
      </w:r>
      <w:proofErr w:type="spellStart"/>
      <w:r>
        <w:rPr>
          <w:lang w:val="en-US"/>
        </w:rPr>
        <w:t>Paita</w:t>
      </w:r>
      <w:proofErr w:type="spellEnd"/>
      <w:r>
        <w:rPr>
          <w:lang w:val="en-US"/>
        </w:rPr>
        <w:t xml:space="preserve"> 98890 New-Caledonia</w:t>
      </w:r>
      <w:r w:rsidRPr="00C05B20">
        <w:rPr>
          <w:lang w:val="en-US"/>
        </w:rPr>
        <w:t>.</w:t>
      </w:r>
      <w:r>
        <w:rPr>
          <w:lang w:val="en-US"/>
        </w:rPr>
        <w:t xml:space="preserve"> </w:t>
      </w:r>
      <w:proofErr w:type="gramStart"/>
      <w:r>
        <w:t>E</w:t>
      </w:r>
      <w:r>
        <w:t>-</w:t>
      </w:r>
      <w:r>
        <w:t>mail :</w:t>
      </w:r>
      <w:proofErr w:type="gramEnd"/>
      <w:r w:rsidRPr="00C05B20">
        <w:t xml:space="preserve"> </w:t>
      </w:r>
      <w:hyperlink r:id="rId7" w:history="1">
        <w:r w:rsidRPr="00C05B20">
          <w:rPr>
            <w:rStyle w:val="Lienhypertexte"/>
            <w:color w:val="auto"/>
            <w:u w:val="none"/>
          </w:rPr>
          <w:t>psaunier</w:t>
        </w:r>
        <w:r w:rsidRPr="00C05B20">
          <w:rPr>
            <w:rStyle w:val="Lienhypertexte"/>
            <w:color w:val="auto"/>
            <w:u w:val="none"/>
          </w:rPr>
          <w:t>@</w:t>
        </w:r>
        <w:r w:rsidRPr="00C05B20">
          <w:rPr>
            <w:rStyle w:val="Lienhypertexte"/>
            <w:color w:val="auto"/>
            <w:u w:val="none"/>
          </w:rPr>
          <w:t>afitextexel</w:t>
        </w:r>
        <w:r w:rsidRPr="00C05B20">
          <w:rPr>
            <w:rStyle w:val="Lienhypertexte"/>
            <w:color w:val="auto"/>
            <w:u w:val="none"/>
          </w:rPr>
          <w:t>.com</w:t>
        </w:r>
      </w:hyperlink>
    </w:p>
    <w:p w14:paraId="025C7726" w14:textId="2D1223A7" w:rsidR="00C05B20" w:rsidRPr="00C05B20" w:rsidRDefault="00C05B20" w:rsidP="00C05B20">
      <w:pPr>
        <w:pStyle w:val="AuthorsDetails"/>
        <w:rPr>
          <w:lang w:val="en-US"/>
        </w:rPr>
      </w:pPr>
      <w:r>
        <w:rPr>
          <w:lang w:val="fr-FR"/>
        </w:rPr>
        <w:t>3</w:t>
      </w:r>
      <w:r w:rsidRPr="00C05B20">
        <w:rPr>
          <w:lang w:val="fr-FR"/>
        </w:rPr>
        <w:t xml:space="preserve"> AFITEX-Texel </w:t>
      </w:r>
      <w:proofErr w:type="spellStart"/>
      <w:r w:rsidRPr="00C05B20">
        <w:rPr>
          <w:lang w:val="fr-FR"/>
        </w:rPr>
        <w:t>Geosynthetics</w:t>
      </w:r>
      <w:proofErr w:type="spellEnd"/>
      <w:r w:rsidRPr="00C05B20">
        <w:rPr>
          <w:lang w:val="fr-FR"/>
        </w:rPr>
        <w:t>, 1300, 2e Rue, Parc industriel Sainte-Marie QC G6E 1G8, Canada.</w:t>
      </w:r>
      <w:r>
        <w:rPr>
          <w:lang w:val="fr-FR"/>
        </w:rPr>
        <w:t xml:space="preserve"> </w:t>
      </w:r>
      <w:proofErr w:type="gramStart"/>
      <w:r w:rsidRPr="00C05B20">
        <w:rPr>
          <w:lang w:val="en-US"/>
        </w:rPr>
        <w:t>E-mail :</w:t>
      </w:r>
      <w:proofErr w:type="gramEnd"/>
      <w:r w:rsidRPr="00C05B20">
        <w:rPr>
          <w:lang w:val="en-US"/>
        </w:rPr>
        <w:t xml:space="preserve"> sfourmont@afitextexel.com</w:t>
      </w:r>
    </w:p>
    <w:p w14:paraId="32D5971B" w14:textId="39E18E90" w:rsidR="00F42E69" w:rsidRPr="00F42E69" w:rsidRDefault="00F42E69" w:rsidP="00F42E69">
      <w:pPr>
        <w:pStyle w:val="Keywords"/>
        <w:rPr>
          <w:rStyle w:val="CorpsdetexteCar"/>
        </w:rPr>
      </w:pPr>
      <w:bookmarkStart w:id="0" w:name="_Hlk49264075"/>
      <w:r w:rsidRPr="00F42E69">
        <w:t>Keywords:</w:t>
      </w:r>
      <w:r>
        <w:t xml:space="preserve"> </w:t>
      </w:r>
      <w:r w:rsidR="00C05B20">
        <w:rPr>
          <w:color w:val="000000"/>
          <w:sz w:val="21"/>
        </w:rPr>
        <w:t>Mine Waste final covers</w:t>
      </w:r>
      <w:r w:rsidR="00C05B20" w:rsidRPr="00F46851">
        <w:rPr>
          <w:rFonts w:eastAsia="PMingLiU" w:hint="eastAsia"/>
          <w:color w:val="000000"/>
          <w:sz w:val="21"/>
          <w:lang w:eastAsia="zh-TW"/>
        </w:rPr>
        <w:t xml:space="preserve">; </w:t>
      </w:r>
      <w:r w:rsidR="00C05B20">
        <w:rPr>
          <w:rFonts w:eastAsia="PMingLiU"/>
          <w:color w:val="000000"/>
          <w:sz w:val="21"/>
          <w:lang w:eastAsia="zh-TW"/>
        </w:rPr>
        <w:t xml:space="preserve">Drainage </w:t>
      </w:r>
      <w:proofErr w:type="spellStart"/>
      <w:r w:rsidR="00C05B20">
        <w:rPr>
          <w:rFonts w:eastAsia="PMingLiU"/>
          <w:color w:val="000000"/>
          <w:sz w:val="21"/>
          <w:lang w:eastAsia="zh-TW"/>
        </w:rPr>
        <w:t>Geocomposites</w:t>
      </w:r>
      <w:proofErr w:type="spellEnd"/>
      <w:r w:rsidR="00C05B20" w:rsidRPr="00F46851">
        <w:rPr>
          <w:rFonts w:eastAsia="PMingLiU" w:hint="eastAsia"/>
          <w:color w:val="000000"/>
          <w:sz w:val="21"/>
          <w:lang w:eastAsia="zh-TW"/>
        </w:rPr>
        <w:t xml:space="preserve">; </w:t>
      </w:r>
      <w:r w:rsidR="00C05B20">
        <w:rPr>
          <w:rFonts w:eastAsia="PMingLiU"/>
          <w:color w:val="000000"/>
          <w:sz w:val="21"/>
          <w:lang w:eastAsia="zh-TW"/>
        </w:rPr>
        <w:t>Long-Term Performance</w:t>
      </w:r>
    </w:p>
    <w:bookmarkEnd w:id="0"/>
    <w:p w14:paraId="4712AA78" w14:textId="004CE969" w:rsidR="00255DA9" w:rsidRPr="00F80210" w:rsidRDefault="00255DA9" w:rsidP="00B034FF">
      <w:pPr>
        <w:pStyle w:val="Titre1"/>
      </w:pPr>
      <w:r w:rsidRPr="00F80210">
        <w:t>ABSTRACT</w:t>
      </w:r>
    </w:p>
    <w:p w14:paraId="32229842" w14:textId="5BF77AD2" w:rsidR="00255DA9" w:rsidRDefault="00C05B20" w:rsidP="00C05B20">
      <w:pPr>
        <w:pStyle w:val="Corpsdetexte"/>
      </w:pPr>
      <w:r w:rsidRPr="00C05B20">
        <w:t xml:space="preserve">Drainage </w:t>
      </w:r>
      <w:proofErr w:type="spellStart"/>
      <w:r w:rsidRPr="00C05B20">
        <w:t>geocomposites</w:t>
      </w:r>
      <w:proofErr w:type="spellEnd"/>
      <w:r w:rsidRPr="00C05B20">
        <w:t xml:space="preserve"> are now widely used in </w:t>
      </w:r>
      <w:r>
        <w:t>the mining industry</w:t>
      </w:r>
      <w:r w:rsidRPr="00C05B20">
        <w:t xml:space="preserve">. Their use on final covers </w:t>
      </w:r>
      <w:r>
        <w:t xml:space="preserve">and orphan sites remediation </w:t>
      </w:r>
      <w:r w:rsidRPr="00C05B20">
        <w:t xml:space="preserve">makes it possible to drain surface water and guarantee the sustainability of the cover over time, </w:t>
      </w:r>
      <w:proofErr w:type="gramStart"/>
      <w:r w:rsidRPr="00C05B20">
        <w:t>as long as</w:t>
      </w:r>
      <w:proofErr w:type="gramEnd"/>
      <w:r w:rsidRPr="00C05B20">
        <w:t xml:space="preserve"> we can monitor their </w:t>
      </w:r>
      <w:proofErr w:type="spellStart"/>
      <w:r w:rsidRPr="00C05B20">
        <w:t>behavior</w:t>
      </w:r>
      <w:proofErr w:type="spellEnd"/>
      <w:r w:rsidRPr="00C05B20">
        <w:t xml:space="preserve">. However, it is difficult to validate the actual durability of these materials other than through accelerated aging tests performed in the laboratory. The best way to assess the long-term integrity of drainage </w:t>
      </w:r>
      <w:proofErr w:type="spellStart"/>
      <w:r w:rsidRPr="00C05B20">
        <w:t>geocomposites</w:t>
      </w:r>
      <w:proofErr w:type="spellEnd"/>
      <w:r w:rsidRPr="00C05B20">
        <w:t xml:space="preserve"> is to exhume them after several years of operation and observe the evolution of their mechanical and hydraulic properties. This paper presents two case studies with the exhumation of two </w:t>
      </w:r>
      <w:proofErr w:type="gramStart"/>
      <w:r w:rsidRPr="00C05B20">
        <w:t>Multi-linear</w:t>
      </w:r>
      <w:proofErr w:type="gramEnd"/>
      <w:r w:rsidRPr="00C05B20">
        <w:t xml:space="preserve"> drainage </w:t>
      </w:r>
      <w:proofErr w:type="spellStart"/>
      <w:r w:rsidRPr="00C05B20">
        <w:t>geocomposites</w:t>
      </w:r>
      <w:proofErr w:type="spellEnd"/>
      <w:r w:rsidRPr="00C05B20">
        <w:t xml:space="preserve"> installed as a drainage layer in final covers after 10 years of operation in France and 12 years of operation in Canada. The samples were inspected and then </w:t>
      </w:r>
      <w:proofErr w:type="spellStart"/>
      <w:r w:rsidRPr="00C05B20">
        <w:t>analyzed</w:t>
      </w:r>
      <w:proofErr w:type="spellEnd"/>
      <w:r w:rsidRPr="00C05B20">
        <w:t xml:space="preserve"> in the laboratory and the residual properties were compared with those of the original product.</w:t>
      </w:r>
    </w:p>
    <w:sectPr w:rsidR="00255DA9" w:rsidSect="001B391A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AF8A6" w14:textId="77777777" w:rsidR="008C3EB3" w:rsidRDefault="008C3EB3">
      <w:r>
        <w:separator/>
      </w:r>
    </w:p>
  </w:endnote>
  <w:endnote w:type="continuationSeparator" w:id="0">
    <w:p w14:paraId="6F85C626" w14:textId="77777777" w:rsidR="008C3EB3" w:rsidRDefault="008C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Corpsdetexte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98F4B" w14:textId="77777777" w:rsidR="008C3EB3" w:rsidRDefault="008C3EB3">
      <w:r>
        <w:separator/>
      </w:r>
    </w:p>
  </w:footnote>
  <w:footnote w:type="continuationSeparator" w:id="0">
    <w:p w14:paraId="0F418055" w14:textId="77777777" w:rsidR="008C3EB3" w:rsidRDefault="008C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18276576">
    <w:abstractNumId w:val="9"/>
  </w:num>
  <w:num w:numId="2" w16cid:durableId="2092700095">
    <w:abstractNumId w:val="7"/>
  </w:num>
  <w:num w:numId="3" w16cid:durableId="592055581">
    <w:abstractNumId w:val="6"/>
  </w:num>
  <w:num w:numId="4" w16cid:durableId="94637023">
    <w:abstractNumId w:val="5"/>
  </w:num>
  <w:num w:numId="5" w16cid:durableId="1809859258">
    <w:abstractNumId w:val="4"/>
  </w:num>
  <w:num w:numId="6" w16cid:durableId="470876309">
    <w:abstractNumId w:val="8"/>
  </w:num>
  <w:num w:numId="7" w16cid:durableId="630330260">
    <w:abstractNumId w:val="3"/>
  </w:num>
  <w:num w:numId="8" w16cid:durableId="580722625">
    <w:abstractNumId w:val="2"/>
  </w:num>
  <w:num w:numId="9" w16cid:durableId="11804924">
    <w:abstractNumId w:val="1"/>
  </w:num>
  <w:num w:numId="10" w16cid:durableId="789399801">
    <w:abstractNumId w:val="0"/>
  </w:num>
  <w:num w:numId="11" w16cid:durableId="75054709">
    <w:abstractNumId w:val="11"/>
  </w:num>
  <w:num w:numId="12" w16cid:durableId="432937679">
    <w:abstractNumId w:val="14"/>
  </w:num>
  <w:num w:numId="13" w16cid:durableId="1730180212">
    <w:abstractNumId w:val="12"/>
  </w:num>
  <w:num w:numId="14" w16cid:durableId="902057293">
    <w:abstractNumId w:val="10"/>
  </w:num>
  <w:num w:numId="15" w16cid:durableId="1161502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2093E"/>
    <w:rsid w:val="00152960"/>
    <w:rsid w:val="00191C29"/>
    <w:rsid w:val="001949C2"/>
    <w:rsid w:val="001A66CB"/>
    <w:rsid w:val="001B29A1"/>
    <w:rsid w:val="001B391A"/>
    <w:rsid w:val="002003B1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D0D25"/>
    <w:rsid w:val="003F60D1"/>
    <w:rsid w:val="00400B42"/>
    <w:rsid w:val="00404564"/>
    <w:rsid w:val="0040487C"/>
    <w:rsid w:val="0042685F"/>
    <w:rsid w:val="0043582B"/>
    <w:rsid w:val="00483270"/>
    <w:rsid w:val="00492847"/>
    <w:rsid w:val="004E148E"/>
    <w:rsid w:val="004E2D81"/>
    <w:rsid w:val="004E6DBA"/>
    <w:rsid w:val="005055EC"/>
    <w:rsid w:val="0052016E"/>
    <w:rsid w:val="005246DC"/>
    <w:rsid w:val="00551CAC"/>
    <w:rsid w:val="005833A5"/>
    <w:rsid w:val="00590432"/>
    <w:rsid w:val="005E76A9"/>
    <w:rsid w:val="00600101"/>
    <w:rsid w:val="00625F99"/>
    <w:rsid w:val="00647198"/>
    <w:rsid w:val="00693B5F"/>
    <w:rsid w:val="006F6DB4"/>
    <w:rsid w:val="006F71F8"/>
    <w:rsid w:val="007216E3"/>
    <w:rsid w:val="007550DD"/>
    <w:rsid w:val="00773305"/>
    <w:rsid w:val="007857CC"/>
    <w:rsid w:val="007C2D86"/>
    <w:rsid w:val="007C2EAD"/>
    <w:rsid w:val="007C2F06"/>
    <w:rsid w:val="007C71EF"/>
    <w:rsid w:val="007D7B0D"/>
    <w:rsid w:val="008301C8"/>
    <w:rsid w:val="00830F91"/>
    <w:rsid w:val="00836A79"/>
    <w:rsid w:val="00842EB0"/>
    <w:rsid w:val="00850D8F"/>
    <w:rsid w:val="00883864"/>
    <w:rsid w:val="00896A0A"/>
    <w:rsid w:val="008C3EB3"/>
    <w:rsid w:val="008E072B"/>
    <w:rsid w:val="008E2DAA"/>
    <w:rsid w:val="008F0BEC"/>
    <w:rsid w:val="0091768B"/>
    <w:rsid w:val="00924529"/>
    <w:rsid w:val="00931A22"/>
    <w:rsid w:val="00967A00"/>
    <w:rsid w:val="00967BED"/>
    <w:rsid w:val="00976B97"/>
    <w:rsid w:val="00983841"/>
    <w:rsid w:val="009963AB"/>
    <w:rsid w:val="009D305A"/>
    <w:rsid w:val="009D75D4"/>
    <w:rsid w:val="009E0640"/>
    <w:rsid w:val="009F0A4C"/>
    <w:rsid w:val="00A0398A"/>
    <w:rsid w:val="00A306E3"/>
    <w:rsid w:val="00A46C5E"/>
    <w:rsid w:val="00A57586"/>
    <w:rsid w:val="00AA6902"/>
    <w:rsid w:val="00AD3D46"/>
    <w:rsid w:val="00B034FF"/>
    <w:rsid w:val="00B31188"/>
    <w:rsid w:val="00B34BF5"/>
    <w:rsid w:val="00B628F5"/>
    <w:rsid w:val="00B6294C"/>
    <w:rsid w:val="00B66294"/>
    <w:rsid w:val="00B676F5"/>
    <w:rsid w:val="00B933F6"/>
    <w:rsid w:val="00BB18DA"/>
    <w:rsid w:val="00BD1080"/>
    <w:rsid w:val="00BD5800"/>
    <w:rsid w:val="00BD6A05"/>
    <w:rsid w:val="00BF5A89"/>
    <w:rsid w:val="00C05B20"/>
    <w:rsid w:val="00C169DA"/>
    <w:rsid w:val="00C96F52"/>
    <w:rsid w:val="00CA36DC"/>
    <w:rsid w:val="00D07440"/>
    <w:rsid w:val="00D20437"/>
    <w:rsid w:val="00D6226A"/>
    <w:rsid w:val="00D752DE"/>
    <w:rsid w:val="00DD17A6"/>
    <w:rsid w:val="00E2116F"/>
    <w:rsid w:val="00E242F3"/>
    <w:rsid w:val="00E64D31"/>
    <w:rsid w:val="00ED0EDB"/>
    <w:rsid w:val="00ED3888"/>
    <w:rsid w:val="00F22067"/>
    <w:rsid w:val="00F2432C"/>
    <w:rsid w:val="00F278F9"/>
    <w:rsid w:val="00F42E69"/>
    <w:rsid w:val="00F80210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Titre1">
    <w:name w:val="heading 1"/>
    <w:basedOn w:val="Corpsdetexte"/>
    <w:next w:val="Corpsdetexte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Titre2">
    <w:name w:val="heading 2"/>
    <w:basedOn w:val="Titre1"/>
    <w:next w:val="Corpsdetexte"/>
    <w:link w:val="Titre2C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Titre3">
    <w:name w:val="heading 3"/>
    <w:basedOn w:val="Titre2"/>
    <w:next w:val="Corpsdetexte"/>
    <w:link w:val="Titre3Car"/>
    <w:qFormat/>
    <w:rsid w:val="005055EC"/>
    <w:pPr>
      <w:outlineLvl w:val="2"/>
    </w:pPr>
    <w:rPr>
      <w:bCs/>
      <w:i/>
      <w:sz w:val="24"/>
      <w:szCs w:val="26"/>
    </w:rPr>
  </w:style>
  <w:style w:type="paragraph" w:styleId="Titre4">
    <w:name w:val="heading 4"/>
    <w:basedOn w:val="Corpsdetexte"/>
    <w:next w:val="Normal"/>
    <w:link w:val="Titre4C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s1">
    <w:name w:val="Bullets 1"/>
    <w:basedOn w:val="Corpsdetexte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Grilledutableau">
    <w:name w:val="Table Grid"/>
    <w:basedOn w:val="Tableau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Corpsdetexte">
    <w:name w:val="Body Text"/>
    <w:link w:val="CorpsdetexteC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Corpsdetexte"/>
    <w:qFormat/>
    <w:rsid w:val="00ED3888"/>
    <w:rPr>
      <w:color w:val="FF0000"/>
    </w:rPr>
  </w:style>
  <w:style w:type="character" w:customStyle="1" w:styleId="CorpsdetexteCar">
    <w:name w:val="Corps de texte Car"/>
    <w:link w:val="Corpsdetexte"/>
    <w:rsid w:val="002E632B"/>
    <w:rPr>
      <w:sz w:val="22"/>
      <w:szCs w:val="24"/>
    </w:rPr>
  </w:style>
  <w:style w:type="character" w:customStyle="1" w:styleId="Titre2Car">
    <w:name w:val="Titre 2 Car"/>
    <w:link w:val="Titre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Corpsdetexte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Titre3Car">
    <w:name w:val="Titre 3 Car"/>
    <w:link w:val="Titre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Corpsdetexte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Corpsdetexte"/>
    <w:qFormat/>
    <w:rsid w:val="00056228"/>
    <w:pPr>
      <w:ind w:left="567" w:hanging="567"/>
    </w:pPr>
    <w:rPr>
      <w:sz w:val="18"/>
    </w:rPr>
  </w:style>
  <w:style w:type="paragraph" w:styleId="En-tte">
    <w:name w:val="header"/>
    <w:basedOn w:val="Normal"/>
    <w:link w:val="En-tteCar"/>
    <w:rsid w:val="00F80210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BD6A05"/>
    <w:rPr>
      <w:sz w:val="24"/>
      <w:szCs w:val="24"/>
    </w:rPr>
  </w:style>
  <w:style w:type="paragraph" w:styleId="Pieddepage">
    <w:name w:val="footer"/>
    <w:basedOn w:val="Normal"/>
    <w:link w:val="PieddepageC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Corpsdetexte"/>
    <w:qFormat/>
    <w:rsid w:val="000E6647"/>
    <w:pPr>
      <w:spacing w:after="240"/>
    </w:pPr>
    <w:rPr>
      <w:i/>
    </w:rPr>
  </w:style>
  <w:style w:type="character" w:customStyle="1" w:styleId="PieddepageCar">
    <w:name w:val="Pied de page Car"/>
    <w:link w:val="Pieddepage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Corpsdetexte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Corpsdetexte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Corpsdetexte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Corpsdetexte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Titre4Car">
    <w:name w:val="Titre 4 Car"/>
    <w:basedOn w:val="Policepardfaut"/>
    <w:link w:val="Titre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Lienhypertexte">
    <w:name w:val="Hyperlink"/>
    <w:basedOn w:val="Policepardfaut"/>
    <w:uiPriority w:val="49"/>
    <w:semiHidden/>
    <w:locked/>
    <w:rsid w:val="00C05B2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saunier@afitextex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Face sheet…</vt:lpstr>
      <vt:lpstr>Face sheet…</vt:lpstr>
    </vt:vector>
  </TitlesOfParts>
  <Company>AIMM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Pascal Saunier (Afitex-Texel)</cp:lastModifiedBy>
  <cp:revision>3</cp:revision>
  <dcterms:created xsi:type="dcterms:W3CDTF">2025-01-16T23:20:00Z</dcterms:created>
  <dcterms:modified xsi:type="dcterms:W3CDTF">2025-01-16T23:20:00Z</dcterms:modified>
</cp:coreProperties>
</file>