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B20E" w14:textId="77777777" w:rsidR="00AD53D2" w:rsidRPr="00AD53D2" w:rsidRDefault="00AD53D2" w:rsidP="00AD53D2">
      <w:pPr>
        <w:pStyle w:val="AbstractBookPaperTitle"/>
        <w:spacing w:after="0"/>
        <w:rPr>
          <w:rFonts w:ascii="Times New Roman" w:hAnsi="Times New Roman" w:cs="Times New Roman"/>
          <w:b/>
          <w:bCs/>
          <w:sz w:val="24"/>
        </w:rPr>
      </w:pPr>
      <w:r w:rsidRPr="00AD53D2">
        <w:rPr>
          <w:rFonts w:ascii="Times New Roman" w:hAnsi="Times New Roman" w:cs="Times New Roman"/>
          <w:b/>
          <w:bCs/>
          <w:sz w:val="24"/>
        </w:rPr>
        <w:t xml:space="preserve">Antagonizing the corticotropin-releasing hormone receptor 1 with an orally bioavailable drug reduces endometriosis pain and associated adhesions. </w:t>
      </w:r>
    </w:p>
    <w:p w14:paraId="45D1FC96" w14:textId="77777777" w:rsidR="00AD53D2" w:rsidRDefault="00AD53D2" w:rsidP="00AD53D2">
      <w:pPr>
        <w:pStyle w:val="AbstractBookAuthors"/>
        <w:rPr>
          <w:rStyle w:val="AbstractBookPresentingAuthor"/>
          <w:rFonts w:ascii="Times New Roman" w:hAnsi="Times New Roman" w:cs="Times New Roman"/>
        </w:rPr>
      </w:pPr>
    </w:p>
    <w:p w14:paraId="5C7F937C" w14:textId="03AF0391" w:rsidR="00AD53D2" w:rsidRPr="00567EBE" w:rsidRDefault="00AD53D2" w:rsidP="00AD53D2">
      <w:pPr>
        <w:pStyle w:val="AbstractBookAuthors"/>
        <w:rPr>
          <w:rFonts w:ascii="Times New Roman" w:hAnsi="Times New Roman" w:cs="Times New Roman"/>
        </w:rPr>
      </w:pPr>
      <w:r w:rsidRPr="00A66ACD">
        <w:rPr>
          <w:rStyle w:val="AbstractBookPresentingAuthor"/>
          <w:rFonts w:ascii="Times New Roman" w:hAnsi="Times New Roman" w:cs="Times New Roman"/>
          <w:b w:val="0"/>
          <w:bCs/>
          <w:u w:val="none"/>
        </w:rPr>
        <w:t>A Torres-Reveron</w:t>
      </w:r>
      <w:r w:rsidRPr="00A66ACD">
        <w:rPr>
          <w:rFonts w:ascii="Times New Roman" w:hAnsi="Times New Roman" w:cs="Times New Roman"/>
          <w:b/>
          <w:bCs/>
          <w:vertAlign w:val="superscript"/>
        </w:rPr>
        <w:t>1</w:t>
      </w:r>
      <w:r w:rsidR="00567EBE">
        <w:rPr>
          <w:rFonts w:ascii="Times New Roman" w:hAnsi="Times New Roman" w:cs="Times New Roman"/>
        </w:rPr>
        <w:t xml:space="preserve">, </w:t>
      </w:r>
      <w:r w:rsidR="00A66ACD" w:rsidRPr="00A66ACD">
        <w:rPr>
          <w:rFonts w:ascii="Times New Roman" w:hAnsi="Times New Roman" w:cs="Times New Roman"/>
          <w:b/>
          <w:bCs/>
          <w:u w:val="single"/>
        </w:rPr>
        <w:t>C Appleyard</w:t>
      </w:r>
      <w:r w:rsidR="00A66ACD" w:rsidRPr="00A66ACD">
        <w:rPr>
          <w:rFonts w:ascii="Times New Roman" w:hAnsi="Times New Roman" w:cs="Times New Roman"/>
          <w:b/>
          <w:bCs/>
          <w:u w:val="single"/>
          <w:vertAlign w:val="superscript"/>
        </w:rPr>
        <w:t>2</w:t>
      </w:r>
    </w:p>
    <w:p w14:paraId="3B4EF060" w14:textId="77777777" w:rsidR="00AD53D2" w:rsidRDefault="00AD53D2" w:rsidP="00AD53D2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68DD061B" w14:textId="77777777" w:rsidR="00AD53D2" w:rsidRDefault="00AD53D2" w:rsidP="00AD53D2">
      <w:pPr>
        <w:spacing w:after="0" w:line="240" w:lineRule="auto"/>
        <w:rPr>
          <w:rStyle w:val="AbstractBookBaseCharacterStyle"/>
          <w:rFonts w:ascii="Times New Roman" w:hAnsi="Times New Roman" w:cs="Times New Roman"/>
        </w:rPr>
      </w:pPr>
      <w:r w:rsidRPr="009B71EC">
        <w:rPr>
          <w:rFonts w:ascii="Times New Roman" w:hAnsi="Times New Roman" w:cs="Times New Roman"/>
          <w:vertAlign w:val="superscript"/>
        </w:rPr>
        <w:t>1</w:t>
      </w:r>
      <w:r w:rsidRPr="009B71EC">
        <w:rPr>
          <w:rStyle w:val="AbstractBookBaseCharacterStyle"/>
          <w:rFonts w:ascii="Times New Roman" w:hAnsi="Times New Roman" w:cs="Times New Roman"/>
        </w:rPr>
        <w:t xml:space="preserve">Sur180 Therapeutics, McAllen, United States, </w:t>
      </w:r>
    </w:p>
    <w:p w14:paraId="2549D211" w14:textId="5E687854" w:rsidR="00AD53D2" w:rsidRPr="009B71EC" w:rsidRDefault="00AD53D2" w:rsidP="00AD53D2">
      <w:pPr>
        <w:spacing w:after="0" w:line="240" w:lineRule="auto"/>
        <w:rPr>
          <w:rFonts w:ascii="Times New Roman" w:hAnsi="Times New Roman" w:cs="Times New Roman"/>
        </w:rPr>
      </w:pPr>
      <w:r w:rsidRPr="009B71EC">
        <w:rPr>
          <w:rFonts w:ascii="Times New Roman" w:hAnsi="Times New Roman" w:cs="Times New Roman"/>
          <w:vertAlign w:val="superscript"/>
        </w:rPr>
        <w:t>2</w:t>
      </w:r>
      <w:r w:rsidRPr="009B71EC">
        <w:rPr>
          <w:rStyle w:val="AbstractBookBaseCharacterStyle"/>
          <w:rFonts w:ascii="Times New Roman" w:hAnsi="Times New Roman" w:cs="Times New Roman"/>
        </w:rPr>
        <w:t>Ponce Health Sciences University/ Ponce Research Institute, Ponce, United States</w:t>
      </w:r>
    </w:p>
    <w:p w14:paraId="2B0BFAAF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059CC6B2" w14:textId="5DF641F9" w:rsidR="00AD53D2" w:rsidRPr="009B71EC" w:rsidRDefault="00AD53D2" w:rsidP="00AD53D2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Countries: </w:t>
      </w:r>
      <w:r w:rsidRPr="009B71EC">
        <w:rPr>
          <w:rFonts w:ascii="Times New Roman" w:hAnsi="Times New Roman" w:cs="Times New Roman"/>
          <w:b/>
          <w:color w:val="000000"/>
        </w:rPr>
        <w:t>United States and Puerto Rico</w:t>
      </w:r>
    </w:p>
    <w:p w14:paraId="6A7F5A33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B457EE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71EC">
        <w:rPr>
          <w:rFonts w:ascii="Times New Roman" w:hAnsi="Times New Roman" w:cs="Times New Roman"/>
          <w:b/>
        </w:rPr>
        <w:t xml:space="preserve">Introduction/Background </w:t>
      </w:r>
    </w:p>
    <w:p w14:paraId="4B9E1389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71EC">
        <w:rPr>
          <w:rFonts w:ascii="Times New Roman" w:hAnsi="Times New Roman" w:cs="Times New Roman"/>
        </w:rPr>
        <w:t>Estrogen facilitates the expression of corticotropin-releasing hormone (CRH) in endometrial tissue</w:t>
      </w:r>
      <w:sdt>
        <w:sdtPr>
          <w:rPr>
            <w:rFonts w:ascii="Times New Roman" w:hAnsi="Times New Roman" w:cs="Times New Roman"/>
            <w:color w:val="000000"/>
            <w:vertAlign w:val="superscript"/>
          </w:rPr>
          <w:tag w:val="MENDELEY_CITATION_v3_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"/>
          <w:id w:val="-272164876"/>
        </w:sdtPr>
        <w:sdtEndPr/>
        <w:sdtContent>
          <w:r w:rsidRPr="009B71EC">
            <w:rPr>
              <w:rFonts w:ascii="Times New Roman" w:hAnsi="Times New Roman" w:cs="Times New Roman"/>
              <w:color w:val="000000"/>
              <w:vertAlign w:val="superscript"/>
            </w:rPr>
            <w:t>1</w:t>
          </w:r>
        </w:sdtContent>
      </w:sdt>
      <w:r w:rsidRPr="009B71EC">
        <w:rPr>
          <w:rFonts w:ascii="Times New Roman" w:hAnsi="Times New Roman" w:cs="Times New Roman"/>
        </w:rPr>
        <w:t xml:space="preserve">. CRH, in turn, mediates inflammatory mechanisms and pain perception, making CRH a suitable </w:t>
      </w:r>
      <w:sdt>
        <w:sdtPr>
          <w:rPr>
            <w:rFonts w:ascii="Times New Roman" w:hAnsi="Times New Roman" w:cs="Times New Roman"/>
          </w:rPr>
          <w:tag w:val="goog_rdk_0"/>
          <w:id w:val="-1868835220"/>
        </w:sdtPr>
        <w:sdtEndPr/>
        <w:sdtContent>
          <w:r w:rsidRPr="009B71EC">
            <w:rPr>
              <w:rFonts w:ascii="Times New Roman" w:hAnsi="Times New Roman" w:cs="Times New Roman"/>
            </w:rPr>
            <w:t xml:space="preserve">downstream </w:t>
          </w:r>
        </w:sdtContent>
      </w:sdt>
      <w:r w:rsidRPr="009B71EC">
        <w:rPr>
          <w:rFonts w:ascii="Times New Roman" w:hAnsi="Times New Roman" w:cs="Times New Roman"/>
        </w:rPr>
        <w:t xml:space="preserve">target of estrogen. Endometriosis lesions from a rat model have increased CRH receptor-1 (CRHR1) </w:t>
      </w:r>
      <w:sdt>
        <w:sdtPr>
          <w:rPr>
            <w:rFonts w:ascii="Times New Roman" w:hAnsi="Times New Roman" w:cs="Times New Roman"/>
          </w:rPr>
          <w:tag w:val="goog_rdk_2"/>
          <w:id w:val="-1080985173"/>
        </w:sdtPr>
        <w:sdtEndPr/>
        <w:sdtContent/>
      </w:sdt>
      <w:sdt>
        <w:sdtPr>
          <w:rPr>
            <w:rFonts w:ascii="Times New Roman" w:hAnsi="Times New Roman" w:cs="Times New Roman"/>
          </w:rPr>
          <w:tag w:val="goog_rdk_3"/>
          <w:id w:val="-231852190"/>
        </w:sdtPr>
        <w:sdtEndPr/>
        <w:sdtContent/>
      </w:sdt>
      <w:r w:rsidRPr="009B71EC">
        <w:rPr>
          <w:rFonts w:ascii="Times New Roman" w:hAnsi="Times New Roman" w:cs="Times New Roman"/>
        </w:rPr>
        <w:t>expression compared to normal uteri</w:t>
      </w:r>
      <w:sdt>
        <w:sdtPr>
          <w:rPr>
            <w:rFonts w:ascii="Times New Roman" w:hAnsi="Times New Roman" w:cs="Times New Roman"/>
            <w:color w:val="000000"/>
            <w:vertAlign w:val="superscript"/>
          </w:rPr>
          <w:tag w:val="MENDELEY_CITATION_v3_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"/>
          <w:id w:val="1492064787"/>
        </w:sdtPr>
        <w:sdtEndPr/>
        <w:sdtContent>
          <w:r w:rsidRPr="009B71EC">
            <w:rPr>
              <w:rFonts w:ascii="Times New Roman" w:hAnsi="Times New Roman" w:cs="Times New Roman"/>
              <w:color w:val="000000"/>
              <w:vertAlign w:val="superscript"/>
            </w:rPr>
            <w:t>2</w:t>
          </w:r>
        </w:sdtContent>
      </w:sdt>
      <w:r w:rsidRPr="009B71EC">
        <w:rPr>
          <w:rFonts w:ascii="Times New Roman" w:hAnsi="Times New Roman" w:cs="Times New Roman"/>
        </w:rPr>
        <w:t>.</w:t>
      </w:r>
    </w:p>
    <w:p w14:paraId="0655CD12" w14:textId="77777777" w:rsidR="00AD53D2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6052F4" w14:textId="4B4DE4F8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71EC">
        <w:rPr>
          <w:rFonts w:ascii="Times New Roman" w:hAnsi="Times New Roman" w:cs="Times New Roman"/>
          <w:b/>
        </w:rPr>
        <w:t xml:space="preserve">Materials and Methods </w:t>
      </w:r>
    </w:p>
    <w:p w14:paraId="2C5B0880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71EC">
        <w:rPr>
          <w:rFonts w:ascii="Times New Roman" w:hAnsi="Times New Roman" w:cs="Times New Roman"/>
          <w:color w:val="000000"/>
        </w:rPr>
        <w:t xml:space="preserve">Starting 25 days after endometriosis induction by auto-transplantation, rats received </w:t>
      </w:r>
      <w:sdt>
        <w:sdtPr>
          <w:rPr>
            <w:rFonts w:ascii="Times New Roman" w:hAnsi="Times New Roman" w:cs="Times New Roman"/>
            <w:color w:val="000000" w:themeColor="text1"/>
          </w:rPr>
          <w:tag w:val="goog_rdk_4"/>
          <w:id w:val="1577094469"/>
        </w:sdtPr>
        <w:sdtEndPr/>
        <w:sdtContent>
          <w:r w:rsidRPr="009B71EC">
            <w:rPr>
              <w:rFonts w:ascii="Times New Roman" w:hAnsi="Times New Roman" w:cs="Times New Roman"/>
              <w:color w:val="000000"/>
            </w:rPr>
            <w:t xml:space="preserve">orally </w:t>
          </w:r>
        </w:sdtContent>
      </w:sdt>
      <w:r w:rsidRPr="009B71EC">
        <w:rPr>
          <w:rFonts w:ascii="Times New Roman" w:hAnsi="Times New Roman" w:cs="Times New Roman"/>
          <w:color w:val="000000"/>
        </w:rPr>
        <w:t xml:space="preserve">10 mg/kg of Drug P, a selective CRHR1 antagonist or vehicle in oyster crackers, or </w:t>
      </w:r>
      <w:proofErr w:type="spellStart"/>
      <w:r w:rsidRPr="009B71EC">
        <w:rPr>
          <w:rFonts w:ascii="Times New Roman" w:hAnsi="Times New Roman" w:cs="Times New Roman"/>
          <w:color w:val="000000"/>
        </w:rPr>
        <w:t>elagolix</w:t>
      </w:r>
      <w:proofErr w:type="spellEnd"/>
      <w:r w:rsidRPr="009B71EC">
        <w:rPr>
          <w:rFonts w:ascii="Times New Roman" w:hAnsi="Times New Roman" w:cs="Times New Roman"/>
          <w:color w:val="000000"/>
        </w:rPr>
        <w:t xml:space="preserve"> (14 mg/kg positive control). Drugs were given for 7 days followed by 7 days drug-free, repeated three times until day 60. Measures included mechanical, thermal, and inflammatory pain, lesion size, </w:t>
      </w:r>
      <w:sdt>
        <w:sdtPr>
          <w:rPr>
            <w:rFonts w:ascii="Times New Roman" w:hAnsi="Times New Roman" w:cs="Times New Roman"/>
            <w:color w:val="000000" w:themeColor="text1"/>
          </w:rPr>
          <w:tag w:val="goog_rdk_11"/>
          <w:id w:val="-1616590959"/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12"/>
              <w:id w:val="-853333895"/>
            </w:sdtPr>
            <w:sdtEndPr/>
            <w:sdtContent/>
          </w:sdt>
        </w:sdtContent>
      </w:sdt>
      <w:r w:rsidRPr="009B71EC">
        <w:rPr>
          <w:rFonts w:ascii="Times New Roman" w:hAnsi="Times New Roman" w:cs="Times New Roman"/>
          <w:color w:val="000000"/>
        </w:rPr>
        <w:t xml:space="preserve">cytokines, serum FSH and LH, and colonic macroscopic score. </w:t>
      </w:r>
    </w:p>
    <w:p w14:paraId="00159062" w14:textId="77777777" w:rsidR="00AD53D2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61D045" w14:textId="24A8F040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71EC">
        <w:rPr>
          <w:rFonts w:ascii="Times New Roman" w:hAnsi="Times New Roman" w:cs="Times New Roman"/>
          <w:b/>
        </w:rPr>
        <w:t xml:space="preserve">Results </w:t>
      </w:r>
    </w:p>
    <w:p w14:paraId="327FC2A1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71EC">
        <w:rPr>
          <w:rFonts w:ascii="Times New Roman" w:hAnsi="Times New Roman" w:cs="Times New Roman"/>
          <w:color w:val="000000"/>
        </w:rPr>
        <w:t xml:space="preserve">Drug P decreased immunohistochemical staining of nerve growth factor (NGF), vascular endothelial growth factor (VEGF), and Ki67, and the mRNA for IL-6 and TNF-alpha within endometriotic lesions compared to the vehicle group. A significant decrease in mechanical and inflammatory pain parallelled these effects: 34% and 38% lower than the vehicle group, respectively. While </w:t>
      </w:r>
      <w:proofErr w:type="spellStart"/>
      <w:r w:rsidRPr="009B71EC">
        <w:rPr>
          <w:rFonts w:ascii="Times New Roman" w:hAnsi="Times New Roman" w:cs="Times New Roman"/>
          <w:color w:val="000000"/>
        </w:rPr>
        <w:t>elagolix</w:t>
      </w:r>
      <w:proofErr w:type="spellEnd"/>
      <w:r w:rsidRPr="009B71EC">
        <w:rPr>
          <w:rFonts w:ascii="Times New Roman" w:hAnsi="Times New Roman" w:cs="Times New Roman"/>
          <w:color w:val="000000"/>
        </w:rPr>
        <w:t xml:space="preserve"> altered the peritoneal leptin-to-weight ratio and serum FSH-to-LH ratio, this was not observed for Drug P. There was a significant decrease in the macroscopic score, primarily driven by </w:t>
      </w:r>
      <w:proofErr w:type="gramStart"/>
      <w:r w:rsidRPr="009B71EC">
        <w:rPr>
          <w:rFonts w:ascii="Times New Roman" w:hAnsi="Times New Roman" w:cs="Times New Roman"/>
          <w:color w:val="000000"/>
        </w:rPr>
        <w:t>a two-fold decreased adhesions</w:t>
      </w:r>
      <w:proofErr w:type="gramEnd"/>
      <w:r w:rsidRPr="009B71EC">
        <w:rPr>
          <w:rFonts w:ascii="Times New Roman" w:hAnsi="Times New Roman" w:cs="Times New Roman"/>
          <w:color w:val="000000"/>
        </w:rPr>
        <w:t xml:space="preserve"> score for Drug P, which was not observed in the vehicle or </w:t>
      </w:r>
      <w:proofErr w:type="spellStart"/>
      <w:r w:rsidRPr="009B71EC">
        <w:rPr>
          <w:rFonts w:ascii="Times New Roman" w:hAnsi="Times New Roman" w:cs="Times New Roman"/>
          <w:color w:val="000000"/>
        </w:rPr>
        <w:t>elagolix</w:t>
      </w:r>
      <w:proofErr w:type="spellEnd"/>
      <w:r w:rsidRPr="009B71EC">
        <w:rPr>
          <w:rFonts w:ascii="Times New Roman" w:hAnsi="Times New Roman" w:cs="Times New Roman"/>
          <w:color w:val="000000"/>
        </w:rPr>
        <w:t xml:space="preserve"> groups. None of the drug treatments changed the gross area or weight of the endometriosis lesions.</w:t>
      </w:r>
    </w:p>
    <w:p w14:paraId="7290C550" w14:textId="77777777" w:rsidR="00AD53D2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5A72FA" w14:textId="5650BDDE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71EC">
        <w:rPr>
          <w:rFonts w:ascii="Times New Roman" w:hAnsi="Times New Roman" w:cs="Times New Roman"/>
          <w:b/>
        </w:rPr>
        <w:t xml:space="preserve">Conclusion </w:t>
      </w:r>
    </w:p>
    <w:p w14:paraId="2AB17D98" w14:textId="1DA9AFAE" w:rsidR="00AD53D2" w:rsidRDefault="00AD53D2" w:rsidP="00AD53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1EC">
        <w:rPr>
          <w:rFonts w:ascii="Times New Roman" w:hAnsi="Times New Roman" w:cs="Times New Roman"/>
        </w:rPr>
        <w:t xml:space="preserve">Targeting the CRHR1 receptor decreases proliferative activity within endometriosis vesicles, with minimal disruptions in gonadal </w:t>
      </w:r>
      <w:proofErr w:type="spellStart"/>
      <w:r w:rsidRPr="009B71EC">
        <w:rPr>
          <w:rFonts w:ascii="Times New Roman" w:hAnsi="Times New Roman" w:cs="Times New Roman"/>
        </w:rPr>
        <w:t>signaling</w:t>
      </w:r>
      <w:proofErr w:type="spellEnd"/>
      <w:r w:rsidRPr="009B71EC">
        <w:rPr>
          <w:rFonts w:ascii="Times New Roman" w:hAnsi="Times New Roman" w:cs="Times New Roman"/>
        </w:rPr>
        <w:t xml:space="preserve">, compared to a gonadotropin-releasing hormone antagonist. Furthermore, the compound effectively minimizes endometriosis-associated adhesions for which no pharmacological treatment options exist. A decrease in mechanical and inflammatory pain represents a clinically relevant finding. </w:t>
      </w:r>
    </w:p>
    <w:p w14:paraId="5BDD7D4C" w14:textId="77777777" w:rsidR="00AD53D2" w:rsidRPr="009B71EC" w:rsidRDefault="00AD53D2" w:rsidP="00AD53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BEEA2" w14:textId="77777777" w:rsidR="00AD53D2" w:rsidRPr="009B71EC" w:rsidRDefault="00AD53D2" w:rsidP="00A66A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71EC">
        <w:rPr>
          <w:rFonts w:ascii="Times New Roman" w:hAnsi="Times New Roman" w:cs="Times New Roman"/>
          <w:b/>
        </w:rPr>
        <w:t xml:space="preserve">Key words </w:t>
      </w:r>
    </w:p>
    <w:p w14:paraId="455B21AB" w14:textId="36EE8978" w:rsidR="00AD53D2" w:rsidRPr="00AD53D2" w:rsidRDefault="00AD53D2" w:rsidP="00A66AC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71EC">
        <w:rPr>
          <w:rFonts w:ascii="Times New Roman" w:hAnsi="Times New Roman" w:cs="Times New Roman"/>
          <w:color w:val="000000"/>
        </w:rPr>
        <w:t>Corticotropin, treatment, non-endocrine</w:t>
      </w:r>
    </w:p>
    <w:p w14:paraId="54277BAE" w14:textId="77777777" w:rsidR="00AD53D2" w:rsidRPr="009B71EC" w:rsidRDefault="00AD53D2" w:rsidP="00A66A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8665C" w14:textId="77777777" w:rsidR="00A66ACD" w:rsidRDefault="00A66ACD" w:rsidP="00A66ACD">
      <w:pPr>
        <w:autoSpaceDE w:val="0"/>
        <w:autoSpaceDN w:val="0"/>
        <w:spacing w:after="0" w:line="240" w:lineRule="auto"/>
        <w:ind w:hanging="640"/>
        <w:jc w:val="both"/>
        <w:rPr>
          <w:rFonts w:ascii="Times New Roman" w:hAnsi="Times New Roman" w:cs="Times New Roman"/>
          <w:color w:val="000000"/>
        </w:rPr>
      </w:pPr>
    </w:p>
    <w:p w14:paraId="09C0A4E5" w14:textId="34C52064" w:rsidR="00AD53D2" w:rsidRPr="00A66ACD" w:rsidRDefault="00AD53D2" w:rsidP="00A66ACD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A66ACD">
        <w:rPr>
          <w:rFonts w:ascii="Times New Roman" w:hAnsi="Times New Roman" w:cs="Times New Roman"/>
          <w:color w:val="000000"/>
        </w:rPr>
        <w:t>Lalmansingh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AS, </w:t>
      </w:r>
      <w:proofErr w:type="spellStart"/>
      <w:r w:rsidRPr="00A66ACD">
        <w:rPr>
          <w:rFonts w:ascii="Times New Roman" w:hAnsi="Times New Roman" w:cs="Times New Roman"/>
          <w:color w:val="000000"/>
        </w:rPr>
        <w:t>Uht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RM. </w:t>
      </w:r>
      <w:proofErr w:type="spellStart"/>
      <w:r w:rsidRPr="00A66ACD">
        <w:rPr>
          <w:rFonts w:ascii="Times New Roman" w:hAnsi="Times New Roman" w:cs="Times New Roman"/>
          <w:color w:val="000000"/>
        </w:rPr>
        <w:t>Estradiol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regulates corticotropin-releasing hormone gene (</w:t>
      </w:r>
      <w:proofErr w:type="spellStart"/>
      <w:r w:rsidRPr="00A66ACD">
        <w:rPr>
          <w:rFonts w:ascii="Times New Roman" w:hAnsi="Times New Roman" w:cs="Times New Roman"/>
          <w:color w:val="000000"/>
        </w:rPr>
        <w:t>crh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) expression in a rapid and phasic manner that parallels estrogen receptor-alpha and -beta recruitment to a 3’,5’-cyclic adenosine 5’-monophosphate regulatory region of the proximal </w:t>
      </w:r>
      <w:proofErr w:type="spellStart"/>
      <w:r w:rsidRPr="00A66ACD">
        <w:rPr>
          <w:rFonts w:ascii="Times New Roman" w:hAnsi="Times New Roman" w:cs="Times New Roman"/>
          <w:color w:val="000000"/>
        </w:rPr>
        <w:t>crh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promoter. Endocrinology [Internet]. 2007/10/20. 2008;149(1):346–357. PMID: 17947358</w:t>
      </w:r>
    </w:p>
    <w:p w14:paraId="2ED4EC7D" w14:textId="395DA05F" w:rsidR="000827AE" w:rsidRPr="00A66ACD" w:rsidRDefault="00AD53D2" w:rsidP="00A66ACD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66ACD">
        <w:rPr>
          <w:rFonts w:ascii="Times New Roman" w:hAnsi="Times New Roman" w:cs="Times New Roman"/>
          <w:color w:val="000000"/>
        </w:rPr>
        <w:lastRenderedPageBreak/>
        <w:t>Torres-</w:t>
      </w:r>
      <w:proofErr w:type="spellStart"/>
      <w:r w:rsidRPr="00A66ACD">
        <w:rPr>
          <w:rFonts w:ascii="Times New Roman" w:hAnsi="Times New Roman" w:cs="Times New Roman"/>
          <w:color w:val="000000"/>
        </w:rPr>
        <w:t>Reverón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A, Rivera-Lopez LL, Flores I, Appleyard CB. Antagonizing the corticotropin-releasing hormone receptor 1 with </w:t>
      </w:r>
      <w:proofErr w:type="spellStart"/>
      <w:r w:rsidRPr="00A66ACD">
        <w:rPr>
          <w:rFonts w:ascii="Times New Roman" w:hAnsi="Times New Roman" w:cs="Times New Roman"/>
          <w:color w:val="000000"/>
        </w:rPr>
        <w:t>antalarmin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reduces the progression of endometriosis. </w:t>
      </w:r>
      <w:proofErr w:type="spellStart"/>
      <w:r w:rsidRPr="00A66ACD">
        <w:rPr>
          <w:rFonts w:ascii="Times New Roman" w:hAnsi="Times New Roman" w:cs="Times New Roman"/>
          <w:color w:val="000000"/>
        </w:rPr>
        <w:t>PLoS</w:t>
      </w:r>
      <w:proofErr w:type="spellEnd"/>
      <w:r w:rsidRPr="00A66ACD">
        <w:rPr>
          <w:rFonts w:ascii="Times New Roman" w:hAnsi="Times New Roman" w:cs="Times New Roman"/>
          <w:color w:val="000000"/>
        </w:rPr>
        <w:t xml:space="preserve"> One. 2018;13(11</w:t>
      </w:r>
      <w:proofErr w:type="gramStart"/>
      <w:r w:rsidRPr="00A66ACD">
        <w:rPr>
          <w:rFonts w:ascii="Times New Roman" w:hAnsi="Times New Roman" w:cs="Times New Roman"/>
          <w:color w:val="000000"/>
        </w:rPr>
        <w:t>):e</w:t>
      </w:r>
      <w:proofErr w:type="gramEnd"/>
      <w:r w:rsidRPr="00A66ACD">
        <w:rPr>
          <w:rFonts w:ascii="Times New Roman" w:hAnsi="Times New Roman" w:cs="Times New Roman"/>
          <w:color w:val="000000"/>
        </w:rPr>
        <w:t>0197698. PMID: 30427841</w:t>
      </w:r>
    </w:p>
    <w:sectPr w:rsidR="000827AE" w:rsidRPr="00A6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465"/>
    <w:multiLevelType w:val="hybridMultilevel"/>
    <w:tmpl w:val="E470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0132"/>
    <w:multiLevelType w:val="hybridMultilevel"/>
    <w:tmpl w:val="24B0F4DE"/>
    <w:lvl w:ilvl="0" w:tplc="8B1658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E04C09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17CE957E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78885B5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7C1E05A0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</w:rPr>
    </w:lvl>
    <w:lvl w:ilvl="5" w:tplc="42261C2C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</w:rPr>
    </w:lvl>
    <w:lvl w:ilvl="6" w:tplc="2C6A4272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 w:tplc="699029E6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</w:rPr>
    </w:lvl>
    <w:lvl w:ilvl="8" w:tplc="E392E3CC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</w:rPr>
    </w:lvl>
  </w:abstractNum>
  <w:abstractNum w:abstractNumId="2" w15:restartNumberingAfterBreak="0">
    <w:nsid w:val="1F7D22F0"/>
    <w:multiLevelType w:val="hybridMultilevel"/>
    <w:tmpl w:val="02967FC2"/>
    <w:lvl w:ilvl="0" w:tplc="B9FA1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C9B5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BBA2A50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F6861A3E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690FB10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</w:rPr>
    </w:lvl>
    <w:lvl w:ilvl="5" w:tplc="56020D46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</w:rPr>
    </w:lvl>
    <w:lvl w:ilvl="6" w:tplc="7528E02C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 w:tplc="B6CAF8D8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</w:rPr>
    </w:lvl>
    <w:lvl w:ilvl="8" w:tplc="162E2B1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</w:rPr>
    </w:lvl>
  </w:abstractNum>
  <w:abstractNum w:abstractNumId="3" w15:restartNumberingAfterBreak="0">
    <w:nsid w:val="2CB273E4"/>
    <w:multiLevelType w:val="hybridMultilevel"/>
    <w:tmpl w:val="943E9D66"/>
    <w:lvl w:ilvl="0" w:tplc="DB866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404476">
      <w:start w:val="1"/>
      <w:numFmt w:val="ideographTraditional"/>
      <w:lvlText w:val="%2、"/>
      <w:lvlJc w:val="left"/>
      <w:pPr>
        <w:ind w:left="960" w:hanging="480"/>
      </w:pPr>
      <w:rPr>
        <w:sz w:val="24"/>
        <w:szCs w:val="24"/>
      </w:rPr>
    </w:lvl>
    <w:lvl w:ilvl="2" w:tplc="B656A95E">
      <w:start w:val="1"/>
      <w:numFmt w:val="lowerRoman"/>
      <w:lvlText w:val="%3."/>
      <w:lvlJc w:val="right"/>
      <w:pPr>
        <w:ind w:left="1440" w:hanging="480"/>
      </w:pPr>
      <w:rPr>
        <w:sz w:val="24"/>
        <w:szCs w:val="24"/>
      </w:rPr>
    </w:lvl>
    <w:lvl w:ilvl="3" w:tplc="26BC3F3A">
      <w:start w:val="1"/>
      <w:numFmt w:val="decimal"/>
      <w:lvlText w:val="%4."/>
      <w:lvlJc w:val="left"/>
      <w:pPr>
        <w:ind w:left="1920" w:hanging="480"/>
      </w:pPr>
      <w:rPr>
        <w:sz w:val="24"/>
        <w:szCs w:val="24"/>
      </w:rPr>
    </w:lvl>
    <w:lvl w:ilvl="4" w:tplc="17C8C758">
      <w:start w:val="1"/>
      <w:numFmt w:val="ideographTraditional"/>
      <w:lvlText w:val="%5、"/>
      <w:lvlJc w:val="left"/>
      <w:pPr>
        <w:ind w:left="2400" w:hanging="480"/>
      </w:pPr>
      <w:rPr>
        <w:sz w:val="24"/>
        <w:szCs w:val="24"/>
      </w:rPr>
    </w:lvl>
    <w:lvl w:ilvl="5" w:tplc="0C5C680A">
      <w:start w:val="1"/>
      <w:numFmt w:val="lowerRoman"/>
      <w:lvlText w:val="%6."/>
      <w:lvlJc w:val="right"/>
      <w:pPr>
        <w:ind w:left="2880" w:hanging="480"/>
      </w:pPr>
      <w:rPr>
        <w:sz w:val="24"/>
        <w:szCs w:val="24"/>
      </w:rPr>
    </w:lvl>
    <w:lvl w:ilvl="6" w:tplc="BD18EC44">
      <w:start w:val="1"/>
      <w:numFmt w:val="decimal"/>
      <w:lvlText w:val="%7."/>
      <w:lvlJc w:val="left"/>
      <w:pPr>
        <w:ind w:left="3360" w:hanging="480"/>
      </w:pPr>
      <w:rPr>
        <w:sz w:val="24"/>
        <w:szCs w:val="24"/>
      </w:rPr>
    </w:lvl>
    <w:lvl w:ilvl="7" w:tplc="A3044B18">
      <w:start w:val="1"/>
      <w:numFmt w:val="ideographTraditional"/>
      <w:lvlText w:val="%8、"/>
      <w:lvlJc w:val="left"/>
      <w:pPr>
        <w:ind w:left="3840" w:hanging="480"/>
      </w:pPr>
      <w:rPr>
        <w:sz w:val="24"/>
        <w:szCs w:val="24"/>
      </w:rPr>
    </w:lvl>
    <w:lvl w:ilvl="8" w:tplc="5B7863EC">
      <w:start w:val="1"/>
      <w:numFmt w:val="lowerRoman"/>
      <w:lvlText w:val="%9."/>
      <w:lvlJc w:val="right"/>
      <w:pPr>
        <w:ind w:left="4320" w:hanging="480"/>
      </w:pPr>
      <w:rPr>
        <w:sz w:val="24"/>
        <w:szCs w:val="24"/>
      </w:rPr>
    </w:lvl>
  </w:abstractNum>
  <w:abstractNum w:abstractNumId="4" w15:restartNumberingAfterBreak="0">
    <w:nsid w:val="38B650A0"/>
    <w:multiLevelType w:val="hybridMultilevel"/>
    <w:tmpl w:val="83E44BAA"/>
    <w:lvl w:ilvl="0" w:tplc="50923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54711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8C1ECADE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3CB418CC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BBFAF6D0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</w:rPr>
    </w:lvl>
    <w:lvl w:ilvl="5" w:tplc="5590EF66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</w:rPr>
    </w:lvl>
    <w:lvl w:ilvl="6" w:tplc="BE72A342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 w:tplc="94784302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</w:rPr>
    </w:lvl>
    <w:lvl w:ilvl="8" w:tplc="2B608ABA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</w:rPr>
    </w:lvl>
  </w:abstractNum>
  <w:abstractNum w:abstractNumId="5" w15:restartNumberingAfterBreak="0">
    <w:nsid w:val="3F0140D2"/>
    <w:multiLevelType w:val="hybridMultilevel"/>
    <w:tmpl w:val="CEB0C440"/>
    <w:lvl w:ilvl="0" w:tplc="3F38A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88019E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7004D390">
      <w:start w:val="1"/>
      <w:numFmt w:val="lowerRoman"/>
      <w:lvlText w:val="%3."/>
      <w:lvlJc w:val="right"/>
      <w:pPr>
        <w:ind w:left="1800" w:hanging="180"/>
      </w:pPr>
      <w:rPr>
        <w:sz w:val="24"/>
        <w:szCs w:val="24"/>
      </w:rPr>
    </w:lvl>
    <w:lvl w:ilvl="3" w:tplc="E2241E36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 w:tplc="6C6272D2">
      <w:start w:val="1"/>
      <w:numFmt w:val="lowerLetter"/>
      <w:lvlText w:val="%5."/>
      <w:lvlJc w:val="left"/>
      <w:pPr>
        <w:ind w:left="3240" w:hanging="360"/>
      </w:pPr>
      <w:rPr>
        <w:sz w:val="24"/>
        <w:szCs w:val="24"/>
      </w:rPr>
    </w:lvl>
    <w:lvl w:ilvl="5" w:tplc="49CC7C8C">
      <w:start w:val="1"/>
      <w:numFmt w:val="lowerRoman"/>
      <w:lvlText w:val="%6."/>
      <w:lvlJc w:val="right"/>
      <w:pPr>
        <w:ind w:left="3960" w:hanging="180"/>
      </w:pPr>
      <w:rPr>
        <w:sz w:val="24"/>
        <w:szCs w:val="24"/>
      </w:rPr>
    </w:lvl>
    <w:lvl w:ilvl="6" w:tplc="6B4476F2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 w:tplc="80EA050A">
      <w:start w:val="1"/>
      <w:numFmt w:val="lowerLetter"/>
      <w:lvlText w:val="%8."/>
      <w:lvlJc w:val="left"/>
      <w:pPr>
        <w:ind w:left="5400" w:hanging="360"/>
      </w:pPr>
      <w:rPr>
        <w:sz w:val="24"/>
        <w:szCs w:val="24"/>
      </w:rPr>
    </w:lvl>
    <w:lvl w:ilvl="8" w:tplc="A434FD52">
      <w:start w:val="1"/>
      <w:numFmt w:val="lowerRoman"/>
      <w:lvlText w:val="%9."/>
      <w:lvlJc w:val="right"/>
      <w:pPr>
        <w:ind w:left="6120" w:hanging="180"/>
      </w:pPr>
      <w:rPr>
        <w:sz w:val="24"/>
        <w:szCs w:val="24"/>
      </w:rPr>
    </w:lvl>
  </w:abstractNum>
  <w:abstractNum w:abstractNumId="6" w15:restartNumberingAfterBreak="0">
    <w:nsid w:val="448307A6"/>
    <w:multiLevelType w:val="hybridMultilevel"/>
    <w:tmpl w:val="2070C97C"/>
    <w:lvl w:ilvl="0" w:tplc="4DE6CA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C62CFA6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BA42E42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9D287430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D0D86BCC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</w:rPr>
    </w:lvl>
    <w:lvl w:ilvl="5" w:tplc="E6F616CC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</w:rPr>
    </w:lvl>
    <w:lvl w:ilvl="6" w:tplc="FDF41830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 w:tplc="5BE49A12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</w:rPr>
    </w:lvl>
    <w:lvl w:ilvl="8" w:tplc="42483E5A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</w:rPr>
    </w:lvl>
  </w:abstractNum>
  <w:abstractNum w:abstractNumId="7" w15:restartNumberingAfterBreak="0">
    <w:nsid w:val="4A377575"/>
    <w:multiLevelType w:val="multilevel"/>
    <w:tmpl w:val="BF4C5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sz w:val="24"/>
        <w:szCs w:val="24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760" w:hanging="440"/>
      </w:pPr>
      <w:rPr>
        <w:sz w:val="24"/>
        <w:szCs w:val="24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sz w:val="24"/>
        <w:szCs w:val="24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080" w:hanging="440"/>
      </w:pPr>
      <w:rPr>
        <w:sz w:val="24"/>
        <w:szCs w:val="24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sz w:val="24"/>
        <w:szCs w:val="24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sz w:val="24"/>
        <w:szCs w:val="24"/>
      </w:rPr>
    </w:lvl>
  </w:abstractNum>
  <w:num w:numId="1" w16cid:durableId="180046938">
    <w:abstractNumId w:val="4"/>
  </w:num>
  <w:num w:numId="2" w16cid:durableId="567497444">
    <w:abstractNumId w:val="3"/>
  </w:num>
  <w:num w:numId="3" w16cid:durableId="1869444796">
    <w:abstractNumId w:val="7"/>
  </w:num>
  <w:num w:numId="4" w16cid:durableId="468788960">
    <w:abstractNumId w:val="2"/>
  </w:num>
  <w:num w:numId="5" w16cid:durableId="1227954342">
    <w:abstractNumId w:val="6"/>
  </w:num>
  <w:num w:numId="6" w16cid:durableId="1220438201">
    <w:abstractNumId w:val="5"/>
  </w:num>
  <w:num w:numId="7" w16cid:durableId="1497646908">
    <w:abstractNumId w:val="1"/>
  </w:num>
  <w:num w:numId="8" w16cid:durableId="209401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2D"/>
    <w:rsid w:val="00035D51"/>
    <w:rsid w:val="00057F0A"/>
    <w:rsid w:val="000827AE"/>
    <w:rsid w:val="00087BFB"/>
    <w:rsid w:val="0010554B"/>
    <w:rsid w:val="00144C07"/>
    <w:rsid w:val="00160488"/>
    <w:rsid w:val="00167DD2"/>
    <w:rsid w:val="001768FE"/>
    <w:rsid w:val="001E48CE"/>
    <w:rsid w:val="002031C9"/>
    <w:rsid w:val="002263F4"/>
    <w:rsid w:val="00252F4B"/>
    <w:rsid w:val="00272BD7"/>
    <w:rsid w:val="002A3178"/>
    <w:rsid w:val="002E05C7"/>
    <w:rsid w:val="002F61D0"/>
    <w:rsid w:val="003034A9"/>
    <w:rsid w:val="003065E3"/>
    <w:rsid w:val="003137DE"/>
    <w:rsid w:val="00317FA7"/>
    <w:rsid w:val="00352E52"/>
    <w:rsid w:val="00365E76"/>
    <w:rsid w:val="003A1869"/>
    <w:rsid w:val="003A6C59"/>
    <w:rsid w:val="003B4185"/>
    <w:rsid w:val="003B6BA5"/>
    <w:rsid w:val="003C7EE2"/>
    <w:rsid w:val="003D25F7"/>
    <w:rsid w:val="00440720"/>
    <w:rsid w:val="004850BD"/>
    <w:rsid w:val="004B0173"/>
    <w:rsid w:val="00526967"/>
    <w:rsid w:val="005368C4"/>
    <w:rsid w:val="00536E21"/>
    <w:rsid w:val="00543EC3"/>
    <w:rsid w:val="00567EBE"/>
    <w:rsid w:val="005870A1"/>
    <w:rsid w:val="005A015F"/>
    <w:rsid w:val="005F2C82"/>
    <w:rsid w:val="006409F4"/>
    <w:rsid w:val="006749E3"/>
    <w:rsid w:val="00675902"/>
    <w:rsid w:val="006C1EA3"/>
    <w:rsid w:val="006F5480"/>
    <w:rsid w:val="00723339"/>
    <w:rsid w:val="0076098B"/>
    <w:rsid w:val="007B3DAD"/>
    <w:rsid w:val="007C0CE1"/>
    <w:rsid w:val="007F3CDD"/>
    <w:rsid w:val="00804389"/>
    <w:rsid w:val="008B6996"/>
    <w:rsid w:val="008C118D"/>
    <w:rsid w:val="008D4EDD"/>
    <w:rsid w:val="009026DF"/>
    <w:rsid w:val="00923B38"/>
    <w:rsid w:val="0092637D"/>
    <w:rsid w:val="009303DF"/>
    <w:rsid w:val="00A24929"/>
    <w:rsid w:val="00A36A1B"/>
    <w:rsid w:val="00A66ACD"/>
    <w:rsid w:val="00A7260B"/>
    <w:rsid w:val="00A80438"/>
    <w:rsid w:val="00AA703C"/>
    <w:rsid w:val="00AD53D2"/>
    <w:rsid w:val="00AE54B6"/>
    <w:rsid w:val="00AE652D"/>
    <w:rsid w:val="00B01FF6"/>
    <w:rsid w:val="00B113DE"/>
    <w:rsid w:val="00B21311"/>
    <w:rsid w:val="00B26613"/>
    <w:rsid w:val="00B34D49"/>
    <w:rsid w:val="00B40511"/>
    <w:rsid w:val="00B558AE"/>
    <w:rsid w:val="00BE08FF"/>
    <w:rsid w:val="00C05B1C"/>
    <w:rsid w:val="00C167C1"/>
    <w:rsid w:val="00C537C0"/>
    <w:rsid w:val="00C73D4E"/>
    <w:rsid w:val="00CA0DEB"/>
    <w:rsid w:val="00CC7237"/>
    <w:rsid w:val="00D00016"/>
    <w:rsid w:val="00D64A07"/>
    <w:rsid w:val="00D67237"/>
    <w:rsid w:val="00D730AC"/>
    <w:rsid w:val="00DC52EB"/>
    <w:rsid w:val="00DD0178"/>
    <w:rsid w:val="00E0633C"/>
    <w:rsid w:val="00E109B2"/>
    <w:rsid w:val="00E327CB"/>
    <w:rsid w:val="00E35870"/>
    <w:rsid w:val="00E3731B"/>
    <w:rsid w:val="00E55F77"/>
    <w:rsid w:val="00E74E29"/>
    <w:rsid w:val="00E83456"/>
    <w:rsid w:val="00EA586B"/>
    <w:rsid w:val="00EA79D2"/>
    <w:rsid w:val="00EB1379"/>
    <w:rsid w:val="00F14385"/>
    <w:rsid w:val="00F1762C"/>
    <w:rsid w:val="00F2555B"/>
    <w:rsid w:val="00F65D23"/>
    <w:rsid w:val="00F85595"/>
    <w:rsid w:val="00F90914"/>
    <w:rsid w:val="00FD0FD6"/>
    <w:rsid w:val="00FD165E"/>
    <w:rsid w:val="00FF107E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4B9A"/>
  <w15:chartTrackingRefBased/>
  <w15:docId w15:val="{6FC36FF4-D1CF-4A25-B3F8-5E988E15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AE6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2D"/>
    <w:rPr>
      <w:b/>
      <w:bCs/>
      <w:smallCaps/>
      <w:color w:val="0F4761" w:themeColor="accent1" w:themeShade="BF"/>
      <w:spacing w:val="5"/>
    </w:rPr>
  </w:style>
  <w:style w:type="character" w:customStyle="1" w:styleId="AbstractBookBaseCharacterStyle">
    <w:name w:val="Abstract Book Base Character Style"/>
    <w:rsid w:val="00AE652D"/>
    <w:rPr>
      <w:rFonts w:ascii="Calibri (Body)" w:eastAsia="Calibri (Body)" w:hAnsi="Calibri (Body)" w:cs="Calibri (Body)"/>
    </w:rPr>
  </w:style>
  <w:style w:type="paragraph" w:customStyle="1" w:styleId="AbstractBookPaperTitle">
    <w:name w:val="Abstract Book Paper Title"/>
    <w:qFormat/>
    <w:rsid w:val="00AE652D"/>
    <w:pPr>
      <w:spacing w:after="120" w:line="240" w:lineRule="auto"/>
    </w:pPr>
    <w:rPr>
      <w:rFonts w:ascii="Calibri (Body)" w:eastAsia="Calibri (Body)" w:hAnsi="Calibri (Body)" w:cs="Calibri (Body)"/>
      <w:kern w:val="0"/>
      <w:sz w:val="32"/>
      <w:lang w:val="en-US" w:eastAsia="uk-UA"/>
      <w14:ligatures w14:val="none"/>
    </w:rPr>
  </w:style>
  <w:style w:type="paragraph" w:customStyle="1" w:styleId="AbstractBookAuthors">
    <w:name w:val="Abstract Book Authors"/>
    <w:qFormat/>
    <w:rsid w:val="00AE652D"/>
    <w:pPr>
      <w:spacing w:after="0" w:line="240" w:lineRule="auto"/>
    </w:pPr>
    <w:rPr>
      <w:rFonts w:ascii="Calibri Light" w:eastAsia="Calibri Light" w:hAnsi="Calibri Light" w:cs="Calibri Light"/>
      <w:kern w:val="0"/>
      <w:lang w:val="en-US" w:eastAsia="uk-UA"/>
      <w14:ligatures w14:val="none"/>
    </w:rPr>
  </w:style>
  <w:style w:type="character" w:customStyle="1" w:styleId="AbstractBookPresentingAuthor">
    <w:name w:val="Abstract Book Presenting Author"/>
    <w:basedOn w:val="AbstractBookBaseCharacterStyle"/>
    <w:rsid w:val="00AE652D"/>
    <w:rPr>
      <w:rFonts w:ascii="Calibri Light" w:eastAsia="Calibri Light" w:hAnsi="Calibri Light" w:cs="Calibri Light"/>
      <w:b/>
      <w:u w:val="single"/>
    </w:rPr>
  </w:style>
  <w:style w:type="character" w:styleId="Strong">
    <w:name w:val="Strong"/>
    <w:uiPriority w:val="22"/>
    <w:qFormat/>
    <w:rsid w:val="003A6C59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qFormat/>
    <w:rsid w:val="007C0C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paragraph" w:customStyle="1" w:styleId="ListParagraphChar">
    <w:name w:val="List Paragraph Char"/>
    <w:basedOn w:val="Normal"/>
    <w:qFormat/>
    <w:rsid w:val="002F61D0"/>
    <w:pPr>
      <w:tabs>
        <w:tab w:val="left" w:pos="260"/>
      </w:tabs>
      <w:spacing w:after="240" w:line="240" w:lineRule="auto"/>
      <w:ind w:left="264" w:hanging="264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en-US" w:eastAsia="uk-UA"/>
      <w14:ligatures w14:val="none"/>
    </w:rPr>
  </w:style>
  <w:style w:type="paragraph" w:customStyle="1" w:styleId="EndNoteBibliography">
    <w:name w:val="EndNote Bibliography"/>
    <w:basedOn w:val="Normal"/>
    <w:qFormat/>
    <w:rsid w:val="00B34D4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character" w:customStyle="1" w:styleId="normaltextrun">
    <w:name w:val="normaltextrun"/>
    <w:rsid w:val="00C73D4E"/>
  </w:style>
  <w:style w:type="paragraph" w:styleId="NoSpacing">
    <w:name w:val="No Spacing"/>
    <w:uiPriority w:val="1"/>
    <w:qFormat/>
    <w:rsid w:val="00C537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uiPriority w:val="99"/>
    <w:unhideWhenUsed/>
    <w:rsid w:val="00E74E29"/>
    <w:rPr>
      <w:color w:val="467886"/>
      <w:u w:val="single"/>
    </w:rPr>
  </w:style>
  <w:style w:type="character" w:styleId="Emphasis">
    <w:name w:val="Emphasis"/>
    <w:uiPriority w:val="20"/>
    <w:qFormat/>
    <w:rsid w:val="00E74E29"/>
    <w:rPr>
      <w:i/>
      <w:iCs/>
    </w:rPr>
  </w:style>
  <w:style w:type="character" w:customStyle="1" w:styleId="apple-converted-space">
    <w:name w:val="apple-converted-space"/>
    <w:rsid w:val="00E74E29"/>
  </w:style>
  <w:style w:type="paragraph" w:customStyle="1" w:styleId="MDPI12title">
    <w:name w:val="MDPI_1.2_title"/>
    <w:next w:val="Normal"/>
    <w:qFormat/>
    <w:rsid w:val="00B2131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val="en-US" w:eastAsia="de-DE" w:bidi="en-US"/>
      <w14:ligatures w14:val="none"/>
    </w:rPr>
  </w:style>
  <w:style w:type="paragraph" w:customStyle="1" w:styleId="1">
    <w:name w:val="リスト段落1"/>
    <w:basedOn w:val="Normal"/>
    <w:uiPriority w:val="99"/>
    <w:unhideWhenUsed/>
    <w:qFormat/>
    <w:rsid w:val="00A24929"/>
    <w:pPr>
      <w:spacing w:after="0" w:line="240" w:lineRule="auto"/>
      <w:ind w:leftChars="400" w:left="960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paragraph" w:customStyle="1" w:styleId="AbstractBookPaperNumber">
    <w:name w:val="Abstract Book Paper Number"/>
    <w:qFormat/>
    <w:rsid w:val="008B6996"/>
    <w:pPr>
      <w:spacing w:after="240" w:line="240" w:lineRule="auto"/>
    </w:pPr>
    <w:rPr>
      <w:rFonts w:ascii="Calibri Light (Heading)" w:eastAsia="Calibri Light (Heading)" w:hAnsi="Calibri Light (Heading)" w:cs="Calibri Light (Heading)"/>
      <w:kern w:val="0"/>
      <w:sz w:val="32"/>
      <w:lang w:val="en-US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McQuie</dc:creator>
  <cp:keywords/>
  <dc:description/>
  <cp:lastModifiedBy>Aira Valiente</cp:lastModifiedBy>
  <cp:revision>3</cp:revision>
  <dcterms:created xsi:type="dcterms:W3CDTF">2025-02-05T03:36:00Z</dcterms:created>
  <dcterms:modified xsi:type="dcterms:W3CDTF">2025-04-09T00:01:00Z</dcterms:modified>
</cp:coreProperties>
</file>