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4621" w14:textId="77777777" w:rsidR="004B616C" w:rsidRPr="004B616C" w:rsidRDefault="004B616C" w:rsidP="004B616C">
      <w:pPr>
        <w:pStyle w:val="AbstractBookPaperTitle"/>
        <w:spacing w:after="0"/>
        <w:rPr>
          <w:rFonts w:ascii="Times New Roman" w:hAnsi="Times New Roman" w:cs="Times New Roman"/>
          <w:b/>
          <w:bCs/>
          <w:sz w:val="24"/>
        </w:rPr>
      </w:pPr>
      <w:r w:rsidRPr="004B616C">
        <w:rPr>
          <w:rFonts w:ascii="Times New Roman" w:hAnsi="Times New Roman" w:cs="Times New Roman"/>
          <w:b/>
          <w:bCs/>
          <w:sz w:val="24"/>
        </w:rPr>
        <w:t>The potential of ROR1 as a novel therapeutic target for endometriosis</w:t>
      </w:r>
    </w:p>
    <w:p w14:paraId="1AD743DF" w14:textId="77777777" w:rsidR="004B616C" w:rsidRPr="004B616C" w:rsidRDefault="004B616C" w:rsidP="004B616C">
      <w:pPr>
        <w:pStyle w:val="AbstractBookPaperTitle"/>
        <w:spacing w:after="0"/>
        <w:rPr>
          <w:rFonts w:ascii="Times New Roman" w:hAnsi="Times New Roman" w:cs="Times New Roman"/>
          <w:sz w:val="24"/>
        </w:rPr>
      </w:pPr>
    </w:p>
    <w:p w14:paraId="4F537A5B" w14:textId="77777777" w:rsidR="004B616C" w:rsidRPr="004B616C" w:rsidRDefault="004B616C" w:rsidP="004B616C">
      <w:pPr>
        <w:pStyle w:val="AbstractBookAuthors"/>
        <w:rPr>
          <w:rFonts w:ascii="Times New Roman" w:hAnsi="Times New Roman" w:cs="Times New Roman"/>
        </w:rPr>
      </w:pPr>
      <w:r w:rsidRPr="004B616C">
        <w:rPr>
          <w:rStyle w:val="AbstractBookPresentingAuthor"/>
          <w:rFonts w:ascii="Times New Roman" w:hAnsi="Times New Roman" w:cs="Times New Roman"/>
        </w:rPr>
        <w:t>K Gunther</w:t>
      </w:r>
      <w:r w:rsidRPr="004B616C">
        <w:rPr>
          <w:rFonts w:ascii="Times New Roman" w:hAnsi="Times New Roman" w:cs="Times New Roman"/>
          <w:vertAlign w:val="superscript"/>
        </w:rPr>
        <w:t>1,2</w:t>
      </w:r>
      <w:r w:rsidRPr="004B616C">
        <w:rPr>
          <w:rStyle w:val="AbstractBookBaseCharacterStyle"/>
          <w:rFonts w:ascii="Times New Roman" w:hAnsi="Times New Roman" w:cs="Times New Roman"/>
        </w:rPr>
        <w:t>, D Liu</w:t>
      </w:r>
      <w:r w:rsidRPr="004B616C">
        <w:rPr>
          <w:rFonts w:ascii="Times New Roman" w:hAnsi="Times New Roman" w:cs="Times New Roman"/>
          <w:vertAlign w:val="superscript"/>
        </w:rPr>
        <w:t>1</w:t>
      </w:r>
      <w:r w:rsidRPr="004B616C">
        <w:rPr>
          <w:rStyle w:val="AbstractBookBaseCharacterStyle"/>
          <w:rFonts w:ascii="Times New Roman" w:hAnsi="Times New Roman" w:cs="Times New Roman"/>
        </w:rPr>
        <w:t>, N Bowden</w:t>
      </w:r>
      <w:r w:rsidRPr="004B616C">
        <w:rPr>
          <w:rFonts w:ascii="Times New Roman" w:hAnsi="Times New Roman" w:cs="Times New Roman"/>
          <w:vertAlign w:val="superscript"/>
        </w:rPr>
        <w:t>3</w:t>
      </w:r>
      <w:r w:rsidRPr="004B616C">
        <w:rPr>
          <w:rStyle w:val="AbstractBookBaseCharacterStyle"/>
          <w:rFonts w:ascii="Times New Roman" w:hAnsi="Times New Roman" w:cs="Times New Roman"/>
        </w:rPr>
        <w:t>, G Stannard</w:t>
      </w:r>
      <w:r w:rsidRPr="004B616C">
        <w:rPr>
          <w:rFonts w:ascii="Times New Roman" w:hAnsi="Times New Roman" w:cs="Times New Roman"/>
          <w:vertAlign w:val="superscript"/>
        </w:rPr>
        <w:t>4</w:t>
      </w:r>
      <w:r w:rsidRPr="004B616C">
        <w:rPr>
          <w:rStyle w:val="AbstractBookBaseCharacterStyle"/>
          <w:rFonts w:ascii="Times New Roman" w:hAnsi="Times New Roman" w:cs="Times New Roman"/>
        </w:rPr>
        <w:t>, J Abbott</w:t>
      </w:r>
      <w:r w:rsidRPr="004B616C">
        <w:rPr>
          <w:rFonts w:ascii="Times New Roman" w:hAnsi="Times New Roman" w:cs="Times New Roman"/>
          <w:vertAlign w:val="superscript"/>
        </w:rPr>
        <w:t>1,2</w:t>
      </w:r>
      <w:r w:rsidRPr="004B616C">
        <w:rPr>
          <w:rStyle w:val="AbstractBookBaseCharacterStyle"/>
          <w:rFonts w:ascii="Times New Roman" w:hAnsi="Times New Roman" w:cs="Times New Roman"/>
        </w:rPr>
        <w:t>, C Ford</w:t>
      </w:r>
      <w:r w:rsidRPr="004B616C">
        <w:rPr>
          <w:rFonts w:ascii="Times New Roman" w:hAnsi="Times New Roman" w:cs="Times New Roman"/>
          <w:vertAlign w:val="superscript"/>
        </w:rPr>
        <w:t>1</w:t>
      </w:r>
    </w:p>
    <w:p w14:paraId="5089E5AD" w14:textId="77777777" w:rsidR="004B616C" w:rsidRPr="004B616C" w:rsidRDefault="004B616C" w:rsidP="004B616C">
      <w:pPr>
        <w:spacing w:after="0"/>
        <w:rPr>
          <w:rFonts w:ascii="Times New Roman" w:hAnsi="Times New Roman" w:cs="Times New Roman"/>
          <w:vertAlign w:val="superscript"/>
        </w:rPr>
      </w:pPr>
    </w:p>
    <w:p w14:paraId="553CF7E9" w14:textId="77777777" w:rsidR="004B616C" w:rsidRPr="004B616C" w:rsidRDefault="004B616C" w:rsidP="004B616C">
      <w:pPr>
        <w:spacing w:after="0"/>
        <w:rPr>
          <w:rStyle w:val="AbstractBookBaseCharacterStyle"/>
          <w:rFonts w:ascii="Times New Roman" w:hAnsi="Times New Roman" w:cs="Times New Roman"/>
        </w:rPr>
      </w:pPr>
      <w:r w:rsidRPr="004B616C">
        <w:rPr>
          <w:rFonts w:ascii="Times New Roman" w:hAnsi="Times New Roman" w:cs="Times New Roman"/>
          <w:vertAlign w:val="superscript"/>
        </w:rPr>
        <w:t>1</w:t>
      </w:r>
      <w:r w:rsidRPr="004B616C">
        <w:rPr>
          <w:rStyle w:val="AbstractBookBaseCharacterStyle"/>
          <w:rFonts w:ascii="Times New Roman" w:hAnsi="Times New Roman" w:cs="Times New Roman"/>
        </w:rPr>
        <w:t>School of Clinical Medicine, UNSW Sydney, Kensington, Australia</w:t>
      </w:r>
    </w:p>
    <w:p w14:paraId="1EFF8C39" w14:textId="77777777" w:rsidR="004B616C" w:rsidRPr="004B616C" w:rsidRDefault="004B616C" w:rsidP="004B616C">
      <w:pPr>
        <w:spacing w:after="0"/>
        <w:rPr>
          <w:rStyle w:val="AbstractBookBaseCharacterStyle"/>
          <w:rFonts w:ascii="Times New Roman" w:hAnsi="Times New Roman" w:cs="Times New Roman"/>
        </w:rPr>
      </w:pPr>
      <w:r w:rsidRPr="004B616C">
        <w:rPr>
          <w:rFonts w:ascii="Times New Roman" w:hAnsi="Times New Roman" w:cs="Times New Roman"/>
          <w:vertAlign w:val="superscript"/>
        </w:rPr>
        <w:t>2</w:t>
      </w:r>
      <w:r w:rsidRPr="004B616C">
        <w:rPr>
          <w:rStyle w:val="AbstractBookBaseCharacterStyle"/>
          <w:rFonts w:ascii="Times New Roman" w:hAnsi="Times New Roman" w:cs="Times New Roman"/>
        </w:rPr>
        <w:t>National Endometriosis Clinical and Scientific Trials (NECST) Network, Australia</w:t>
      </w:r>
    </w:p>
    <w:p w14:paraId="4CB333BC" w14:textId="77777777" w:rsidR="004B616C" w:rsidRPr="004B616C" w:rsidRDefault="004B616C" w:rsidP="004B616C">
      <w:pPr>
        <w:spacing w:after="0"/>
        <w:rPr>
          <w:rStyle w:val="AbstractBookBaseCharacterStyle"/>
          <w:rFonts w:ascii="Times New Roman" w:hAnsi="Times New Roman" w:cs="Times New Roman"/>
        </w:rPr>
      </w:pPr>
      <w:r w:rsidRPr="004B616C">
        <w:rPr>
          <w:rFonts w:ascii="Times New Roman" w:hAnsi="Times New Roman" w:cs="Times New Roman"/>
          <w:vertAlign w:val="superscript"/>
        </w:rPr>
        <w:t>3</w:t>
      </w:r>
      <w:r w:rsidRPr="004B616C">
        <w:rPr>
          <w:rStyle w:val="AbstractBookBaseCharacterStyle"/>
          <w:rFonts w:ascii="Times New Roman" w:hAnsi="Times New Roman" w:cs="Times New Roman"/>
        </w:rPr>
        <w:t xml:space="preserve">School of Medicine and Public Health, University of Newcastle, Newcastle, Australia, </w:t>
      </w:r>
      <w:r w:rsidRPr="004B616C">
        <w:rPr>
          <w:rFonts w:ascii="Times New Roman" w:hAnsi="Times New Roman" w:cs="Times New Roman"/>
          <w:vertAlign w:val="superscript"/>
        </w:rPr>
        <w:t>4</w:t>
      </w:r>
      <w:r w:rsidRPr="004B616C">
        <w:rPr>
          <w:rStyle w:val="AbstractBookBaseCharacterStyle"/>
          <w:rFonts w:ascii="Times New Roman" w:hAnsi="Times New Roman" w:cs="Times New Roman"/>
        </w:rPr>
        <w:t>Cancer Voices Australia, Milsons Point, Australia</w:t>
      </w:r>
    </w:p>
    <w:p w14:paraId="11D482A6" w14:textId="77777777" w:rsidR="004B616C" w:rsidRPr="004B616C" w:rsidRDefault="004B616C" w:rsidP="004B616C">
      <w:pPr>
        <w:spacing w:after="0"/>
        <w:rPr>
          <w:rFonts w:ascii="Times New Roman" w:hAnsi="Times New Roman" w:cs="Times New Roman"/>
        </w:rPr>
      </w:pPr>
    </w:p>
    <w:p w14:paraId="20A4DB7F" w14:textId="77777777" w:rsidR="004B616C" w:rsidRPr="004B616C" w:rsidRDefault="004B616C" w:rsidP="004B616C">
      <w:pPr>
        <w:spacing w:after="0"/>
        <w:jc w:val="both"/>
        <w:rPr>
          <w:rFonts w:ascii="Times New Roman" w:hAnsi="Times New Roman" w:cs="Times New Roman"/>
          <w:b/>
          <w:bCs/>
        </w:rPr>
      </w:pPr>
      <w:bookmarkStart w:id="0" w:name="_Hlk182831713"/>
      <w:r w:rsidRPr="004B616C">
        <w:rPr>
          <w:rFonts w:ascii="Times New Roman" w:hAnsi="Times New Roman" w:cs="Times New Roman"/>
          <w:b/>
          <w:bCs/>
        </w:rPr>
        <w:t>Country: Australia</w:t>
      </w:r>
      <w:bookmarkEnd w:id="0"/>
    </w:p>
    <w:p w14:paraId="6F854BA9" w14:textId="77777777" w:rsidR="004B616C" w:rsidRPr="004B616C" w:rsidRDefault="004B616C" w:rsidP="004B616C">
      <w:pPr>
        <w:spacing w:after="0"/>
        <w:jc w:val="both"/>
        <w:rPr>
          <w:rFonts w:ascii="Times New Roman" w:hAnsi="Times New Roman" w:cs="Times New Roman"/>
          <w:b/>
          <w:bCs/>
        </w:rPr>
      </w:pPr>
    </w:p>
    <w:p w14:paraId="67B478E5" w14:textId="77777777" w:rsidR="004B616C" w:rsidRPr="004B616C" w:rsidRDefault="004B616C" w:rsidP="004B616C">
      <w:pPr>
        <w:spacing w:after="0"/>
        <w:jc w:val="both"/>
        <w:rPr>
          <w:rFonts w:ascii="Times New Roman" w:hAnsi="Times New Roman" w:cs="Times New Roman"/>
          <w:b/>
          <w:bCs/>
        </w:rPr>
      </w:pPr>
      <w:r w:rsidRPr="004B616C">
        <w:rPr>
          <w:rFonts w:ascii="Times New Roman" w:hAnsi="Times New Roman" w:cs="Times New Roman"/>
          <w:b/>
          <w:bCs/>
        </w:rPr>
        <w:t>Introduction/Background</w:t>
      </w:r>
    </w:p>
    <w:p w14:paraId="118ED59E" w14:textId="77777777" w:rsidR="004B616C" w:rsidRPr="004B616C" w:rsidRDefault="004B616C" w:rsidP="004B616C">
      <w:pPr>
        <w:spacing w:after="0"/>
        <w:jc w:val="both"/>
        <w:rPr>
          <w:rFonts w:ascii="Times New Roman" w:hAnsi="Times New Roman" w:cs="Times New Roman"/>
        </w:rPr>
      </w:pPr>
      <w:r w:rsidRPr="004B616C">
        <w:rPr>
          <w:rFonts w:ascii="Times New Roman" w:hAnsi="Times New Roman" w:cs="Times New Roman"/>
        </w:rPr>
        <w:t>Personalised medicine represents a promising therapeutic avenue in endometriosis, addressing the diversity of clinical manifestations, enhancing treatment efficacy and minimising side effects. Embryonic cell surface receptor ROR1 is a key target in oncology owing to its role in regulating cell growth, differentiation, and survival, but remains unexplored in endometriosis.</w:t>
      </w:r>
    </w:p>
    <w:p w14:paraId="2FA5BB82" w14:textId="77777777" w:rsidR="004B616C" w:rsidRPr="004B616C" w:rsidRDefault="004B616C" w:rsidP="004B616C">
      <w:pPr>
        <w:spacing w:after="0"/>
        <w:jc w:val="both"/>
        <w:rPr>
          <w:rFonts w:ascii="Times New Roman" w:hAnsi="Times New Roman" w:cs="Times New Roman"/>
          <w:b/>
          <w:bCs/>
        </w:rPr>
      </w:pPr>
    </w:p>
    <w:p w14:paraId="04172B0B" w14:textId="77777777" w:rsidR="004B616C" w:rsidRPr="004B616C" w:rsidRDefault="004B616C" w:rsidP="004B616C">
      <w:pPr>
        <w:spacing w:after="0"/>
        <w:jc w:val="both"/>
        <w:rPr>
          <w:rFonts w:ascii="Times New Roman" w:hAnsi="Times New Roman" w:cs="Times New Roman"/>
          <w:b/>
          <w:bCs/>
        </w:rPr>
      </w:pPr>
      <w:r w:rsidRPr="004B616C">
        <w:rPr>
          <w:rFonts w:ascii="Times New Roman" w:hAnsi="Times New Roman" w:cs="Times New Roman"/>
          <w:b/>
          <w:bCs/>
        </w:rPr>
        <w:t>Materials and Methods</w:t>
      </w:r>
    </w:p>
    <w:p w14:paraId="07DAFD0C" w14:textId="77777777" w:rsidR="004B616C" w:rsidRPr="004B616C" w:rsidRDefault="004B616C" w:rsidP="004B616C">
      <w:pPr>
        <w:spacing w:after="0"/>
        <w:jc w:val="both"/>
        <w:rPr>
          <w:rFonts w:ascii="Times New Roman" w:hAnsi="Times New Roman" w:cs="Times New Roman"/>
        </w:rPr>
      </w:pPr>
      <w:r w:rsidRPr="004B616C">
        <w:rPr>
          <w:rFonts w:ascii="Times New Roman" w:hAnsi="Times New Roman" w:cs="Times New Roman"/>
          <w:i/>
          <w:iCs/>
        </w:rPr>
        <w:t>ROR1</w:t>
      </w:r>
      <w:r w:rsidRPr="004B616C">
        <w:rPr>
          <w:rFonts w:ascii="Times New Roman" w:hAnsi="Times New Roman" w:cs="Times New Roman"/>
        </w:rPr>
        <w:t xml:space="preserve"> mRNA expression was analysed in a cohort of superficial (SUP n=76), deep infiltrating (DIE n=88), and endometrioma (OMA n=28) lesions, and control peritoneal (n=37) and endometrial (n=102) tissues. ROR1 protein expression was validated in an endometriosis tissue microarray (n=53). An </w:t>
      </w:r>
      <w:proofErr w:type="gramStart"/>
      <w:r w:rsidRPr="004B616C">
        <w:rPr>
          <w:rFonts w:ascii="Times New Roman" w:hAnsi="Times New Roman" w:cs="Times New Roman"/>
          <w:i/>
          <w:iCs/>
        </w:rPr>
        <w:t>in silico</w:t>
      </w:r>
      <w:proofErr w:type="gramEnd"/>
      <w:r w:rsidRPr="004B616C">
        <w:rPr>
          <w:rFonts w:ascii="Times New Roman" w:hAnsi="Times New Roman" w:cs="Times New Roman"/>
        </w:rPr>
        <w:t xml:space="preserve"> ligand-based virtual screening approach was undertaken to identify drugs with potential ROR1-binding activity, favourable pharmacokinetics and minimal side effects. A shortlist of 3 agents were tested in endometriosis cell lines and organoids. </w:t>
      </w:r>
    </w:p>
    <w:p w14:paraId="772A63BD" w14:textId="77777777" w:rsidR="004B616C" w:rsidRPr="004B616C" w:rsidRDefault="004B616C" w:rsidP="004B616C">
      <w:pPr>
        <w:spacing w:after="0"/>
        <w:jc w:val="both"/>
        <w:rPr>
          <w:rFonts w:ascii="Times New Roman" w:hAnsi="Times New Roman" w:cs="Times New Roman"/>
          <w:b/>
          <w:bCs/>
        </w:rPr>
      </w:pPr>
    </w:p>
    <w:p w14:paraId="30413436" w14:textId="77777777" w:rsidR="004B616C" w:rsidRPr="004B616C" w:rsidRDefault="004B616C" w:rsidP="004B616C">
      <w:pPr>
        <w:spacing w:after="0"/>
        <w:jc w:val="both"/>
        <w:rPr>
          <w:rFonts w:ascii="Times New Roman" w:hAnsi="Times New Roman" w:cs="Times New Roman"/>
          <w:b/>
          <w:bCs/>
        </w:rPr>
      </w:pPr>
      <w:r w:rsidRPr="004B616C">
        <w:rPr>
          <w:rFonts w:ascii="Times New Roman" w:hAnsi="Times New Roman" w:cs="Times New Roman"/>
          <w:b/>
          <w:bCs/>
        </w:rPr>
        <w:t>Results</w:t>
      </w:r>
    </w:p>
    <w:p w14:paraId="507CBA7B" w14:textId="77777777" w:rsidR="004B616C" w:rsidRPr="004B616C" w:rsidRDefault="004B616C" w:rsidP="004B616C">
      <w:pPr>
        <w:spacing w:after="0"/>
        <w:jc w:val="both"/>
        <w:rPr>
          <w:rFonts w:ascii="Times New Roman" w:hAnsi="Times New Roman" w:cs="Times New Roman"/>
        </w:rPr>
      </w:pPr>
      <w:r w:rsidRPr="004B616C">
        <w:rPr>
          <w:rFonts w:ascii="Times New Roman" w:hAnsi="Times New Roman" w:cs="Times New Roman"/>
        </w:rPr>
        <w:t xml:space="preserve">ROR1 is transcriptionally upregulated in peritoneal endometriosis tissues, but not endometrioma, irrespective of patient stage, age, or menstrual phase. Protein translation was confirmed in majority of patients within endometriosis microarrays (49/53, 92.5%), including SUP (9/12, 75/0%), DIE (33/33, 100.0%) OMA (6/9, 66.7%) and adenomyosis lesions (8/9, 88.9%). Ligand-based screening identified 263 agents with potential ROR1 inhibitory activity. Of these, cabergoline (a dopaminergic agonist), pirenzepine (an antimuscarinic and PARP inhibitor), and </w:t>
      </w:r>
      <w:proofErr w:type="spellStart"/>
      <w:r w:rsidRPr="004B616C">
        <w:rPr>
          <w:rFonts w:ascii="Times New Roman" w:hAnsi="Times New Roman" w:cs="Times New Roman"/>
        </w:rPr>
        <w:t>rimegepant</w:t>
      </w:r>
      <w:proofErr w:type="spellEnd"/>
      <w:r w:rsidRPr="004B616C">
        <w:rPr>
          <w:rFonts w:ascii="Times New Roman" w:hAnsi="Times New Roman" w:cs="Times New Roman"/>
        </w:rPr>
        <w:t xml:space="preserve"> (CGRP antagonist for migraine nociception) were prioritised and tested in a ROR1-expressing adherent cell line and patient-derived organoids. While no difference in cell proliferation or viability was observed after 72h of cabergoline or pirenzepine treatment, </w:t>
      </w:r>
      <w:proofErr w:type="spellStart"/>
      <w:r w:rsidRPr="004B616C">
        <w:rPr>
          <w:rFonts w:ascii="Times New Roman" w:hAnsi="Times New Roman" w:cs="Times New Roman"/>
        </w:rPr>
        <w:t>rimegepant</w:t>
      </w:r>
      <w:proofErr w:type="spellEnd"/>
      <w:r w:rsidRPr="004B616C">
        <w:rPr>
          <w:rFonts w:ascii="Times New Roman" w:hAnsi="Times New Roman" w:cs="Times New Roman"/>
        </w:rPr>
        <w:t xml:space="preserve"> demonstrated cytotoxic potential </w:t>
      </w:r>
      <w:r w:rsidRPr="004B616C">
        <w:rPr>
          <w:rFonts w:ascii="Times New Roman" w:hAnsi="Times New Roman" w:cs="Times New Roman"/>
          <w:i/>
          <w:iCs/>
        </w:rPr>
        <w:t>in vitro</w:t>
      </w:r>
      <w:r w:rsidRPr="004B616C">
        <w:rPr>
          <w:rFonts w:ascii="Times New Roman" w:hAnsi="Times New Roman" w:cs="Times New Roman"/>
        </w:rPr>
        <w:t xml:space="preserve">.   </w:t>
      </w:r>
    </w:p>
    <w:p w14:paraId="5C0AE9BB" w14:textId="77777777" w:rsidR="004B616C" w:rsidRPr="004B616C" w:rsidRDefault="004B616C" w:rsidP="004B616C">
      <w:pPr>
        <w:spacing w:after="0"/>
        <w:jc w:val="both"/>
        <w:rPr>
          <w:rFonts w:ascii="Times New Roman" w:hAnsi="Times New Roman" w:cs="Times New Roman"/>
          <w:b/>
          <w:bCs/>
        </w:rPr>
      </w:pPr>
    </w:p>
    <w:p w14:paraId="29B59E1A" w14:textId="77777777" w:rsidR="004B616C" w:rsidRPr="004B616C" w:rsidRDefault="004B616C" w:rsidP="004B616C">
      <w:pPr>
        <w:spacing w:after="0"/>
        <w:jc w:val="both"/>
        <w:rPr>
          <w:rFonts w:ascii="Times New Roman" w:hAnsi="Times New Roman" w:cs="Times New Roman"/>
          <w:b/>
          <w:bCs/>
        </w:rPr>
      </w:pPr>
      <w:r w:rsidRPr="004B616C">
        <w:rPr>
          <w:rFonts w:ascii="Times New Roman" w:hAnsi="Times New Roman" w:cs="Times New Roman"/>
          <w:b/>
          <w:bCs/>
        </w:rPr>
        <w:t xml:space="preserve">Conclusion </w:t>
      </w:r>
    </w:p>
    <w:p w14:paraId="377F05E4" w14:textId="77777777" w:rsidR="004B616C" w:rsidRDefault="004B616C" w:rsidP="004B616C">
      <w:pPr>
        <w:spacing w:after="0"/>
        <w:jc w:val="both"/>
        <w:rPr>
          <w:rFonts w:ascii="Times New Roman" w:hAnsi="Times New Roman" w:cs="Times New Roman"/>
        </w:rPr>
      </w:pPr>
      <w:r w:rsidRPr="004B616C">
        <w:rPr>
          <w:rFonts w:ascii="Times New Roman" w:hAnsi="Times New Roman" w:cs="Times New Roman"/>
        </w:rPr>
        <w:t xml:space="preserve">ROR1 is a promising target for precision endometriosis treatment due to its upregulation in endometriosis lesions and low expression in adult tissues. Investigating ROR1-targeting therapies </w:t>
      </w:r>
      <w:r w:rsidRPr="004B616C">
        <w:rPr>
          <w:rFonts w:ascii="Times New Roman" w:hAnsi="Times New Roman" w:cs="Times New Roman"/>
        </w:rPr>
        <w:lastRenderedPageBreak/>
        <w:t xml:space="preserve">is warranted, including the repurposing of migraine drug </w:t>
      </w:r>
      <w:proofErr w:type="spellStart"/>
      <w:r w:rsidRPr="004B616C">
        <w:rPr>
          <w:rFonts w:ascii="Times New Roman" w:hAnsi="Times New Roman" w:cs="Times New Roman"/>
        </w:rPr>
        <w:t>rimegepant</w:t>
      </w:r>
      <w:proofErr w:type="spellEnd"/>
      <w:r w:rsidRPr="004B616C">
        <w:rPr>
          <w:rFonts w:ascii="Times New Roman" w:hAnsi="Times New Roman" w:cs="Times New Roman"/>
        </w:rPr>
        <w:t>, which may exert nociception effects while also preventing endometriosis lesion growth through ROR1 inhibition.</w:t>
      </w:r>
    </w:p>
    <w:p w14:paraId="4947AE22" w14:textId="77777777" w:rsidR="004B616C" w:rsidRPr="004B616C" w:rsidRDefault="004B616C" w:rsidP="004B616C">
      <w:pPr>
        <w:spacing w:after="0"/>
        <w:jc w:val="both"/>
        <w:rPr>
          <w:rFonts w:ascii="Times New Roman" w:hAnsi="Times New Roman" w:cs="Times New Roman"/>
        </w:rPr>
      </w:pPr>
    </w:p>
    <w:p w14:paraId="1F11C962" w14:textId="77777777" w:rsidR="004B616C" w:rsidRPr="004B616C" w:rsidRDefault="004B616C" w:rsidP="004B616C">
      <w:pPr>
        <w:spacing w:after="0"/>
        <w:jc w:val="both"/>
        <w:rPr>
          <w:rFonts w:ascii="Times New Roman" w:hAnsi="Times New Roman" w:cs="Times New Roman"/>
          <w:b/>
          <w:bCs/>
        </w:rPr>
      </w:pPr>
      <w:r w:rsidRPr="004B616C">
        <w:rPr>
          <w:rFonts w:ascii="Times New Roman" w:hAnsi="Times New Roman" w:cs="Times New Roman"/>
          <w:b/>
          <w:bCs/>
        </w:rPr>
        <w:t xml:space="preserve">Key words: </w:t>
      </w:r>
      <w:r w:rsidRPr="004B616C">
        <w:rPr>
          <w:rFonts w:ascii="Times New Roman" w:hAnsi="Times New Roman" w:cs="Times New Roman"/>
        </w:rPr>
        <w:t>drug repurposing, personalised medicine, organoids</w:t>
      </w:r>
    </w:p>
    <w:p w14:paraId="2E67CECA" w14:textId="77777777" w:rsidR="00D571E3" w:rsidRPr="004B616C" w:rsidRDefault="00D571E3">
      <w:pPr>
        <w:rPr>
          <w:rFonts w:ascii="Times New Roman" w:hAnsi="Times New Roman" w:cs="Times New Roman"/>
        </w:rPr>
      </w:pPr>
    </w:p>
    <w:sectPr w:rsidR="00D571E3" w:rsidRPr="004B61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6C"/>
    <w:rsid w:val="000B3C26"/>
    <w:rsid w:val="00166726"/>
    <w:rsid w:val="00274616"/>
    <w:rsid w:val="004B616C"/>
    <w:rsid w:val="007E7BBF"/>
    <w:rsid w:val="009010DB"/>
    <w:rsid w:val="00C123D2"/>
    <w:rsid w:val="00D571E3"/>
    <w:rsid w:val="00EE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9AB1"/>
  <w15:chartTrackingRefBased/>
  <w15:docId w15:val="{7AEB6BC7-8B46-479C-B5B8-4E4BF266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16C"/>
    <w:pPr>
      <w:spacing w:line="276" w:lineRule="auto"/>
    </w:pPr>
    <w:rPr>
      <w:sz w:val="24"/>
      <w:szCs w:val="24"/>
      <w:lang w:val="en-AU"/>
    </w:rPr>
  </w:style>
  <w:style w:type="paragraph" w:styleId="Heading1">
    <w:name w:val="heading 1"/>
    <w:basedOn w:val="Normal"/>
    <w:next w:val="Normal"/>
    <w:link w:val="Heading1Char"/>
    <w:uiPriority w:val="9"/>
    <w:qFormat/>
    <w:rsid w:val="004B616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4B616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4B616C"/>
    <w:pPr>
      <w:keepNext/>
      <w:keepLines/>
      <w:spacing w:before="160" w:after="80" w:line="259"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4B616C"/>
    <w:pPr>
      <w:keepNext/>
      <w:keepLines/>
      <w:spacing w:before="80" w:after="40" w:line="259" w:lineRule="auto"/>
      <w:outlineLvl w:val="3"/>
    </w:pPr>
    <w:rPr>
      <w:rFonts w:eastAsiaTheme="majorEastAsia" w:cstheme="majorBidi"/>
      <w:i/>
      <w:iCs/>
      <w:color w:val="0F4761" w:themeColor="accent1" w:themeShade="BF"/>
      <w:sz w:val="22"/>
      <w:szCs w:val="22"/>
      <w:lang w:val="en-US"/>
    </w:rPr>
  </w:style>
  <w:style w:type="paragraph" w:styleId="Heading5">
    <w:name w:val="heading 5"/>
    <w:basedOn w:val="Normal"/>
    <w:next w:val="Normal"/>
    <w:link w:val="Heading5Char"/>
    <w:uiPriority w:val="9"/>
    <w:semiHidden/>
    <w:unhideWhenUsed/>
    <w:qFormat/>
    <w:rsid w:val="004B616C"/>
    <w:pPr>
      <w:keepNext/>
      <w:keepLines/>
      <w:spacing w:before="80" w:after="40" w:line="259" w:lineRule="auto"/>
      <w:outlineLvl w:val="4"/>
    </w:pPr>
    <w:rPr>
      <w:rFonts w:eastAsiaTheme="majorEastAsia" w:cstheme="majorBidi"/>
      <w:color w:val="0F4761" w:themeColor="accent1" w:themeShade="BF"/>
      <w:sz w:val="22"/>
      <w:szCs w:val="22"/>
      <w:lang w:val="en-US"/>
    </w:rPr>
  </w:style>
  <w:style w:type="paragraph" w:styleId="Heading6">
    <w:name w:val="heading 6"/>
    <w:basedOn w:val="Normal"/>
    <w:next w:val="Normal"/>
    <w:link w:val="Heading6Char"/>
    <w:uiPriority w:val="9"/>
    <w:semiHidden/>
    <w:unhideWhenUsed/>
    <w:qFormat/>
    <w:rsid w:val="004B616C"/>
    <w:pPr>
      <w:keepNext/>
      <w:keepLines/>
      <w:spacing w:before="40" w:after="0" w:line="259" w:lineRule="auto"/>
      <w:outlineLvl w:val="5"/>
    </w:pPr>
    <w:rPr>
      <w:rFonts w:eastAsiaTheme="majorEastAsia" w:cstheme="majorBidi"/>
      <w:i/>
      <w:iCs/>
      <w:color w:val="595959" w:themeColor="text1" w:themeTint="A6"/>
      <w:sz w:val="22"/>
      <w:szCs w:val="22"/>
      <w:lang w:val="en-US"/>
    </w:rPr>
  </w:style>
  <w:style w:type="paragraph" w:styleId="Heading7">
    <w:name w:val="heading 7"/>
    <w:basedOn w:val="Normal"/>
    <w:next w:val="Normal"/>
    <w:link w:val="Heading7Char"/>
    <w:uiPriority w:val="9"/>
    <w:semiHidden/>
    <w:unhideWhenUsed/>
    <w:qFormat/>
    <w:rsid w:val="004B616C"/>
    <w:pPr>
      <w:keepNext/>
      <w:keepLines/>
      <w:spacing w:before="40" w:after="0" w:line="259" w:lineRule="auto"/>
      <w:outlineLvl w:val="6"/>
    </w:pPr>
    <w:rPr>
      <w:rFonts w:eastAsiaTheme="majorEastAsia" w:cstheme="majorBidi"/>
      <w:color w:val="595959" w:themeColor="text1" w:themeTint="A6"/>
      <w:sz w:val="22"/>
      <w:szCs w:val="22"/>
      <w:lang w:val="en-US"/>
    </w:rPr>
  </w:style>
  <w:style w:type="paragraph" w:styleId="Heading8">
    <w:name w:val="heading 8"/>
    <w:basedOn w:val="Normal"/>
    <w:next w:val="Normal"/>
    <w:link w:val="Heading8Char"/>
    <w:uiPriority w:val="9"/>
    <w:semiHidden/>
    <w:unhideWhenUsed/>
    <w:qFormat/>
    <w:rsid w:val="004B616C"/>
    <w:pPr>
      <w:keepNext/>
      <w:keepLines/>
      <w:spacing w:after="0" w:line="259" w:lineRule="auto"/>
      <w:outlineLvl w:val="7"/>
    </w:pPr>
    <w:rPr>
      <w:rFonts w:eastAsiaTheme="majorEastAsia" w:cstheme="majorBidi"/>
      <w:i/>
      <w:iCs/>
      <w:color w:val="272727" w:themeColor="text1" w:themeTint="D8"/>
      <w:sz w:val="22"/>
      <w:szCs w:val="22"/>
      <w:lang w:val="en-US"/>
    </w:rPr>
  </w:style>
  <w:style w:type="paragraph" w:styleId="Heading9">
    <w:name w:val="heading 9"/>
    <w:basedOn w:val="Normal"/>
    <w:next w:val="Normal"/>
    <w:link w:val="Heading9Char"/>
    <w:uiPriority w:val="9"/>
    <w:semiHidden/>
    <w:unhideWhenUsed/>
    <w:qFormat/>
    <w:rsid w:val="004B616C"/>
    <w:pPr>
      <w:keepNext/>
      <w:keepLines/>
      <w:spacing w:after="0" w:line="259" w:lineRule="auto"/>
      <w:outlineLvl w:val="8"/>
    </w:pPr>
    <w:rPr>
      <w:rFonts w:eastAsiaTheme="majorEastAsia" w:cstheme="majorBidi"/>
      <w:color w:val="272727" w:themeColor="text1" w:themeTint="D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ghanTestTable">
    <w:name w:val="MeeghanTestTable"/>
    <w:basedOn w:val="TableNormal"/>
    <w:uiPriority w:val="99"/>
    <w:rsid w:val="00C123D2"/>
    <w:pPr>
      <w:spacing w:after="0" w:line="240" w:lineRule="auto"/>
      <w:jc w:val="right"/>
    </w:pPr>
    <w:rPr>
      <w:rFonts w:ascii="Trebuchet MS" w:hAnsi="Trebuchet MS"/>
      <w:kern w:val="0"/>
      <w:lang w:val="en-AU"/>
      <w14:ligatures w14:val="none"/>
    </w:rPr>
    <w:tblPr>
      <w:tblInd w:w="567" w:type="dxa"/>
      <w:tblBorders>
        <w:top w:val="single" w:sz="12" w:space="0" w:color="006591"/>
        <w:left w:val="single" w:sz="12" w:space="0" w:color="006591"/>
        <w:bottom w:val="single" w:sz="12" w:space="0" w:color="006591"/>
        <w:right w:val="single" w:sz="12" w:space="0" w:color="006591"/>
        <w:insideH w:val="single" w:sz="12" w:space="0" w:color="006591"/>
        <w:insideV w:val="single" w:sz="12" w:space="0" w:color="006591"/>
      </w:tblBorders>
    </w:tblPr>
    <w:tblStylePr w:type="firstRow">
      <w:pPr>
        <w:jc w:val="left"/>
      </w:pPr>
      <w:rPr>
        <w:rFonts w:ascii="Trebuchet MS" w:hAnsi="Trebuchet MS"/>
        <w:sz w:val="22"/>
      </w:rPr>
      <w:tblPr/>
      <w:tcPr>
        <w:shd w:val="clear" w:color="auto" w:fill="0F4761" w:themeFill="accent1" w:themeFillShade="BF"/>
      </w:tcPr>
    </w:tblStylePr>
    <w:tblStylePr w:type="firstCol">
      <w:pPr>
        <w:jc w:val="left"/>
      </w:pPr>
    </w:tblStylePr>
  </w:style>
  <w:style w:type="character" w:customStyle="1" w:styleId="Heading1Char">
    <w:name w:val="Heading 1 Char"/>
    <w:basedOn w:val="DefaultParagraphFont"/>
    <w:link w:val="Heading1"/>
    <w:uiPriority w:val="9"/>
    <w:rsid w:val="004B6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16C"/>
    <w:rPr>
      <w:rFonts w:eastAsiaTheme="majorEastAsia" w:cstheme="majorBidi"/>
      <w:color w:val="272727" w:themeColor="text1" w:themeTint="D8"/>
    </w:rPr>
  </w:style>
  <w:style w:type="paragraph" w:styleId="Title">
    <w:name w:val="Title"/>
    <w:basedOn w:val="Normal"/>
    <w:next w:val="Normal"/>
    <w:link w:val="TitleChar"/>
    <w:uiPriority w:val="10"/>
    <w:qFormat/>
    <w:rsid w:val="004B616C"/>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4B6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16C"/>
    <w:pPr>
      <w:numPr>
        <w:ilvl w:val="1"/>
      </w:numPr>
      <w:spacing w:line="259"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4B6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16C"/>
    <w:pPr>
      <w:spacing w:before="160" w:line="259" w:lineRule="auto"/>
      <w:jc w:val="center"/>
    </w:pPr>
    <w:rPr>
      <w:i/>
      <w:iCs/>
      <w:color w:val="404040" w:themeColor="text1" w:themeTint="BF"/>
      <w:sz w:val="22"/>
      <w:szCs w:val="22"/>
      <w:lang w:val="en-US"/>
    </w:rPr>
  </w:style>
  <w:style w:type="character" w:customStyle="1" w:styleId="QuoteChar">
    <w:name w:val="Quote Char"/>
    <w:basedOn w:val="DefaultParagraphFont"/>
    <w:link w:val="Quote"/>
    <w:uiPriority w:val="29"/>
    <w:rsid w:val="004B616C"/>
    <w:rPr>
      <w:i/>
      <w:iCs/>
      <w:color w:val="404040" w:themeColor="text1" w:themeTint="BF"/>
    </w:rPr>
  </w:style>
  <w:style w:type="paragraph" w:styleId="ListParagraph">
    <w:name w:val="List Paragraph"/>
    <w:basedOn w:val="Normal"/>
    <w:uiPriority w:val="34"/>
    <w:qFormat/>
    <w:rsid w:val="004B616C"/>
    <w:pPr>
      <w:spacing w:line="259" w:lineRule="auto"/>
      <w:ind w:left="720"/>
      <w:contextualSpacing/>
    </w:pPr>
    <w:rPr>
      <w:sz w:val="22"/>
      <w:szCs w:val="22"/>
      <w:lang w:val="en-US"/>
    </w:rPr>
  </w:style>
  <w:style w:type="character" w:styleId="IntenseEmphasis">
    <w:name w:val="Intense Emphasis"/>
    <w:basedOn w:val="DefaultParagraphFont"/>
    <w:uiPriority w:val="21"/>
    <w:qFormat/>
    <w:rsid w:val="004B616C"/>
    <w:rPr>
      <w:i/>
      <w:iCs/>
      <w:color w:val="0F4761" w:themeColor="accent1" w:themeShade="BF"/>
    </w:rPr>
  </w:style>
  <w:style w:type="paragraph" w:styleId="IntenseQuote">
    <w:name w:val="Intense Quote"/>
    <w:basedOn w:val="Normal"/>
    <w:next w:val="Normal"/>
    <w:link w:val="IntenseQuoteChar"/>
    <w:uiPriority w:val="30"/>
    <w:qFormat/>
    <w:rsid w:val="004B616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lang w:val="en-US"/>
    </w:rPr>
  </w:style>
  <w:style w:type="character" w:customStyle="1" w:styleId="IntenseQuoteChar">
    <w:name w:val="Intense Quote Char"/>
    <w:basedOn w:val="DefaultParagraphFont"/>
    <w:link w:val="IntenseQuote"/>
    <w:uiPriority w:val="30"/>
    <w:rsid w:val="004B616C"/>
    <w:rPr>
      <w:i/>
      <w:iCs/>
      <w:color w:val="0F4761" w:themeColor="accent1" w:themeShade="BF"/>
    </w:rPr>
  </w:style>
  <w:style w:type="character" w:styleId="IntenseReference">
    <w:name w:val="Intense Reference"/>
    <w:basedOn w:val="DefaultParagraphFont"/>
    <w:uiPriority w:val="32"/>
    <w:qFormat/>
    <w:rsid w:val="004B616C"/>
    <w:rPr>
      <w:b/>
      <w:bCs/>
      <w:smallCaps/>
      <w:color w:val="0F4761" w:themeColor="accent1" w:themeShade="BF"/>
      <w:spacing w:val="5"/>
    </w:rPr>
  </w:style>
  <w:style w:type="paragraph" w:customStyle="1" w:styleId="AbstractBookPaperTitle">
    <w:name w:val="Abstract Book Paper Title"/>
    <w:qFormat/>
    <w:rsid w:val="004B616C"/>
    <w:pPr>
      <w:spacing w:after="120" w:line="240" w:lineRule="auto"/>
    </w:pPr>
    <w:rPr>
      <w:rFonts w:ascii="Calibri (Body)" w:eastAsia="Calibri (Body)" w:hAnsi="Calibri (Body)" w:cs="Calibri (Body)"/>
      <w:kern w:val="0"/>
      <w:sz w:val="32"/>
      <w:szCs w:val="24"/>
      <w:lang w:eastAsia="uk-UA"/>
      <w14:ligatures w14:val="none"/>
    </w:rPr>
  </w:style>
  <w:style w:type="paragraph" w:customStyle="1" w:styleId="AbstractBookAuthors">
    <w:name w:val="Abstract Book Authors"/>
    <w:qFormat/>
    <w:rsid w:val="004B616C"/>
    <w:pPr>
      <w:spacing w:after="0" w:line="240" w:lineRule="auto"/>
    </w:pPr>
    <w:rPr>
      <w:rFonts w:ascii="Calibri Light" w:eastAsia="Calibri Light" w:hAnsi="Calibri Light" w:cs="Calibri Light"/>
      <w:kern w:val="0"/>
      <w:sz w:val="24"/>
      <w:szCs w:val="24"/>
      <w:lang w:eastAsia="uk-UA"/>
      <w14:ligatures w14:val="none"/>
    </w:rPr>
  </w:style>
  <w:style w:type="character" w:customStyle="1" w:styleId="AbstractBookBaseCharacterStyle">
    <w:name w:val="Abstract Book Base Character Style"/>
    <w:rsid w:val="004B616C"/>
    <w:rPr>
      <w:rFonts w:ascii="Calibri (Body)" w:eastAsia="Calibri (Body)" w:hAnsi="Calibri (Body)" w:cs="Calibri (Body)" w:hint="default"/>
    </w:rPr>
  </w:style>
  <w:style w:type="character" w:customStyle="1" w:styleId="AbstractBookPresentingAuthor">
    <w:name w:val="Abstract Book Presenting Author"/>
    <w:basedOn w:val="AbstractBookBaseCharacterStyle"/>
    <w:rsid w:val="004B616C"/>
    <w:rPr>
      <w:rFonts w:ascii="Calibri Light" w:eastAsia="Calibri Light" w:hAnsi="Calibri Light" w:cs="Calibri Light" w:hint="default"/>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 Valiente</dc:creator>
  <cp:keywords/>
  <dc:description/>
  <cp:lastModifiedBy>Aira Valiente</cp:lastModifiedBy>
  <cp:revision>1</cp:revision>
  <dcterms:created xsi:type="dcterms:W3CDTF">2025-04-30T05:24:00Z</dcterms:created>
  <dcterms:modified xsi:type="dcterms:W3CDTF">2025-04-30T05:25:00Z</dcterms:modified>
</cp:coreProperties>
</file>