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92DF" w14:textId="77777777" w:rsidR="00C94484" w:rsidRPr="00AA664B" w:rsidRDefault="00C94484" w:rsidP="00C94484">
      <w:pPr>
        <w:spacing w:after="0" w:line="240" w:lineRule="auto"/>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0F1C53CD" w14:textId="77777777" w:rsidR="00C94484" w:rsidRPr="00AA664B" w:rsidRDefault="00C94484" w:rsidP="00C94484">
      <w:pPr>
        <w:spacing w:after="0" w:line="240" w:lineRule="auto"/>
        <w:rPr>
          <w:rFonts w:ascii="Segoe UI" w:eastAsia="Times New Roman" w:hAnsi="Segoe UI" w:cs="Segoe UI"/>
          <w:kern w:val="0"/>
          <w:sz w:val="40"/>
          <w:szCs w:val="40"/>
          <w:lang w:eastAsia="en-AU"/>
          <w14:ligatures w14:val="none"/>
        </w:rPr>
      </w:pPr>
      <w:r w:rsidRPr="00AA664B">
        <w:rPr>
          <w:rFonts w:ascii="Segoe UI" w:eastAsia="Times New Roman" w:hAnsi="Segoe UI" w:cs="Segoe UI"/>
          <w:kern w:val="0"/>
          <w:sz w:val="40"/>
          <w:szCs w:val="40"/>
          <w:lang w:eastAsia="en-AU"/>
          <w14:ligatures w14:val="none"/>
        </w:rPr>
        <w:t>SoCLA 2026 National Conference – Terms &amp; Conditions</w:t>
      </w:r>
    </w:p>
    <w:p w14:paraId="4CC78A55"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xml:space="preserve">By registering for the SoCLA 2026 National Conference, you agree to these Terms &amp; Conditions. SoCLA reserves the right to change these terms and </w:t>
      </w:r>
      <w:proofErr w:type="gramStart"/>
      <w:r w:rsidRPr="00AA664B">
        <w:rPr>
          <w:rFonts w:ascii="Segoe UI" w:eastAsia="Times New Roman" w:hAnsi="Segoe UI" w:cs="Segoe UI"/>
          <w:kern w:val="0"/>
          <w:sz w:val="21"/>
          <w:szCs w:val="21"/>
          <w:lang w:eastAsia="en-AU"/>
          <w14:ligatures w14:val="none"/>
        </w:rPr>
        <w:t>conditions</w:t>
      </w:r>
      <w:proofErr w:type="gramEnd"/>
      <w:r w:rsidRPr="00AA664B">
        <w:rPr>
          <w:rFonts w:ascii="Segoe UI" w:eastAsia="Times New Roman" w:hAnsi="Segoe UI" w:cs="Segoe UI"/>
          <w:kern w:val="0"/>
          <w:sz w:val="21"/>
          <w:szCs w:val="21"/>
          <w:lang w:eastAsia="en-AU"/>
          <w14:ligatures w14:val="none"/>
        </w:rPr>
        <w:t xml:space="preserve"> and notice will be provided via publication on this page. </w:t>
      </w:r>
    </w:p>
    <w:p w14:paraId="1E12B4D3"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xml:space="preserve"> For any questions, email events@scl.org.au.</w:t>
      </w:r>
    </w:p>
    <w:p w14:paraId="4EAFC33D"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47E1EB07"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1. Privacy &amp; Personal Information</w:t>
      </w:r>
    </w:p>
    <w:p w14:paraId="41024CA6"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SoCLA collects your personal information to provide services to members and non-members, including administering the SoCLA National Conference and related events.</w:t>
      </w:r>
    </w:p>
    <w:p w14:paraId="104365BB" w14:textId="28D11D00" w:rsidR="00C94484" w:rsidRPr="00AA664B" w:rsidRDefault="00C94484" w:rsidP="00C94484">
      <w:pPr>
        <w:spacing w:after="0" w:line="240" w:lineRule="auto"/>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 xml:space="preserve">Your personal information will be handled in accordance with our Privacy Policy, available </w:t>
      </w:r>
      <w:proofErr w:type="gramStart"/>
      <w:r w:rsidRPr="00AA664B">
        <w:rPr>
          <w:rFonts w:ascii="Segoe UI" w:eastAsia="Times New Roman" w:hAnsi="Segoe UI" w:cs="Segoe UI"/>
          <w:kern w:val="0"/>
          <w:sz w:val="21"/>
          <w:szCs w:val="21"/>
          <w:lang w:eastAsia="en-AU"/>
          <w14:ligatures w14:val="none"/>
        </w:rPr>
        <w:t>at</w:t>
      </w:r>
      <w:r>
        <w:rPr>
          <w:rFonts w:ascii="Segoe UI" w:eastAsia="Times New Roman" w:hAnsi="Segoe UI" w:cs="Segoe UI"/>
          <w:kern w:val="0"/>
          <w:sz w:val="21"/>
          <w:szCs w:val="21"/>
          <w:lang w:eastAsia="en-AU"/>
          <w14:ligatures w14:val="none"/>
        </w:rPr>
        <w:t xml:space="preserve"> </w:t>
      </w:r>
      <w:r w:rsidRPr="00AA664B">
        <w:rPr>
          <w:rFonts w:ascii="Segoe UI" w:eastAsia="Times New Roman" w:hAnsi="Segoe UI" w:cs="Segoe UI"/>
          <w:kern w:val="0"/>
          <w:sz w:val="21"/>
          <w:szCs w:val="21"/>
          <w:lang w:eastAsia="en-AU"/>
          <w14:ligatures w14:val="none"/>
        </w:rPr>
        <w:t>:</w:t>
      </w:r>
      <w:proofErr w:type="gramEnd"/>
      <w:r>
        <w:fldChar w:fldCharType="begin"/>
      </w:r>
      <w:r>
        <w:instrText>HYPERLINK "https://www.scl.org.au/privacy-policy"</w:instrText>
      </w:r>
      <w:r>
        <w:fldChar w:fldCharType="separate"/>
      </w:r>
      <w:r w:rsidRPr="00AA664B">
        <w:rPr>
          <w:rFonts w:ascii="Calibri" w:eastAsia="Times New Roman" w:hAnsi="Calibri" w:cs="Calibri"/>
          <w:color w:val="0000FF"/>
          <w:kern w:val="0"/>
          <w:u w:val="single"/>
          <w:lang w:eastAsia="en-AU"/>
          <w14:ligatures w14:val="none"/>
        </w:rPr>
        <w:t>Privacy Policy | Society of Construction Law Australia</w:t>
      </w:r>
      <w:r>
        <w:fldChar w:fldCharType="end"/>
      </w:r>
    </w:p>
    <w:p w14:paraId="04A28038" w14:textId="18AFBC22"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w:t>
      </w:r>
      <w:r>
        <w:rPr>
          <w:rFonts w:ascii="Segoe UI" w:eastAsia="Times New Roman" w:hAnsi="Segoe UI" w:cs="Segoe UI"/>
          <w:kern w:val="0"/>
          <w:sz w:val="21"/>
          <w:szCs w:val="21"/>
          <w:lang w:eastAsia="en-AU"/>
          <w14:ligatures w14:val="none"/>
        </w:rPr>
        <w:t xml:space="preserve"> </w:t>
      </w:r>
    </w:p>
    <w:p w14:paraId="691D8A2E"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2D4AFC80"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2. Delegate Information &amp; Electronic Access</w:t>
      </w:r>
    </w:p>
    <w:p w14:paraId="30C582A8"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Delegate details (such as name, organisation, and role) will be accessible to other registered delegates and conference sponsors via the SoCLA Conference App to facilitate networking and engagement.</w:t>
      </w:r>
    </w:p>
    <w:p w14:paraId="24323DCD"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All conference-related information will be provided electronically via email or through the 2026 SoCLA National Conference App. Instructions for downloading and using the app will be provided closer to the event. Access is limited to registered participants and sponsors.</w:t>
      </w:r>
    </w:p>
    <w:p w14:paraId="3679A1FD"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73482972"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3. Photography &amp; Media</w:t>
      </w:r>
    </w:p>
    <w:p w14:paraId="326ADFA5"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Photography and videography may occur during the conference and related events. These images and recordings may be used by SoCLA for promotional, marketing, and archival purposes, including on our website, social media, and publications.</w:t>
      </w:r>
    </w:p>
    <w:p w14:paraId="49127FB4"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By attending the conference, you consent to being photographed or recorded.</w:t>
      </w:r>
    </w:p>
    <w:p w14:paraId="65B9F029"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If you have concerns or do not wish to appear in photos or videos, please contact events@scl.org.au prior to the event.</w:t>
      </w:r>
    </w:p>
    <w:p w14:paraId="293F3195"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785DEF0D"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4. Dress Code</w:t>
      </w:r>
    </w:p>
    <w:p w14:paraId="46A8C254" w14:textId="77777777" w:rsidR="00C94484" w:rsidRPr="00AA664B" w:rsidRDefault="00C94484" w:rsidP="00C94484">
      <w:pPr>
        <w:numPr>
          <w:ilvl w:val="0"/>
          <w:numId w:val="1"/>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Conference Events (except Gala Dinner): Smart Casual</w:t>
      </w:r>
    </w:p>
    <w:p w14:paraId="5333ED0D" w14:textId="77777777" w:rsidR="00C94484" w:rsidRPr="00AA664B" w:rsidRDefault="00C94484" w:rsidP="00C94484">
      <w:pPr>
        <w:numPr>
          <w:ilvl w:val="0"/>
          <w:numId w:val="1"/>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 xml:space="preserve">Gala Dinner: </w:t>
      </w:r>
    </w:p>
    <w:p w14:paraId="0A19F214" w14:textId="77777777" w:rsidR="00C94484" w:rsidRPr="00AA664B" w:rsidRDefault="00C94484" w:rsidP="00C94484">
      <w:pPr>
        <w:numPr>
          <w:ilvl w:val="1"/>
          <w:numId w:val="1"/>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Ladies: Cocktail Dress</w:t>
      </w:r>
    </w:p>
    <w:p w14:paraId="2068A164" w14:textId="77777777" w:rsidR="00C94484" w:rsidRPr="00AA664B" w:rsidRDefault="00C94484" w:rsidP="00C94484">
      <w:pPr>
        <w:numPr>
          <w:ilvl w:val="1"/>
          <w:numId w:val="1"/>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Gentlemen: Lounge Suit</w:t>
      </w:r>
    </w:p>
    <w:p w14:paraId="69042EAD"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607F8946"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 xml:space="preserve">5. Registration &amp; Event Cancellation Policy </w:t>
      </w:r>
    </w:p>
    <w:p w14:paraId="17C227E3"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This policy applies to conference registration and related event bookings. A separate policy applies to hotel accommodation (see Section 6).</w:t>
      </w:r>
    </w:p>
    <w:p w14:paraId="0E80E0B2" w14:textId="77777777" w:rsidR="00C94484" w:rsidRPr="00AA664B" w:rsidRDefault="00C94484" w:rsidP="00C94484">
      <w:pPr>
        <w:numPr>
          <w:ilvl w:val="0"/>
          <w:numId w:val="2"/>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Cancellations received on or before Sunday, 5 April 2026: Refund less 50% of the registration fee.</w:t>
      </w:r>
    </w:p>
    <w:p w14:paraId="0138CD1B" w14:textId="77777777" w:rsidR="00C94484" w:rsidRPr="00AA664B" w:rsidRDefault="00C94484" w:rsidP="00C94484">
      <w:pPr>
        <w:numPr>
          <w:ilvl w:val="0"/>
          <w:numId w:val="2"/>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Cancellations received on or after Monday, 6 April 2026: No refund.</w:t>
      </w:r>
    </w:p>
    <w:p w14:paraId="7B214060"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Substitutions (Conference Only):</w:t>
      </w:r>
    </w:p>
    <w:p w14:paraId="45AF8C3A"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xml:space="preserve">You may substitute your conference registration with another participant eligible for the same registration type. SoCLA reserves the right to charge a $30 administration fee for such substitutions. Substitutions are permitted until Monday, 4 May 2026 and apply only to the conference registration or event. </w:t>
      </w:r>
    </w:p>
    <w:p w14:paraId="7AA35AEB"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Hotel accommodation changes or substitutions must be discussed directly with the Hilton Hotel and are subject to Hilton Hotel's policies.</w:t>
      </w:r>
    </w:p>
    <w:p w14:paraId="67E3DF02" w14:textId="77777777" w:rsidR="00C94484" w:rsidRPr="00AA664B" w:rsidRDefault="00C94484" w:rsidP="00C94484">
      <w:pPr>
        <w:spacing w:after="0" w:line="240" w:lineRule="auto"/>
        <w:rPr>
          <w:rFonts w:ascii="Segoe UI" w:eastAsia="Times New Roman" w:hAnsi="Segoe UI" w:cs="Segoe UI"/>
          <w:kern w:val="0"/>
          <w:sz w:val="24"/>
          <w:szCs w:val="24"/>
          <w:lang w:eastAsia="en-AU"/>
          <w14:ligatures w14:val="none"/>
        </w:rPr>
      </w:pPr>
      <w:r w:rsidRPr="00AA664B">
        <w:rPr>
          <w:rFonts w:ascii="Segoe UI" w:eastAsia="Times New Roman" w:hAnsi="Segoe UI" w:cs="Segoe UI"/>
          <w:kern w:val="0"/>
          <w:sz w:val="24"/>
          <w:szCs w:val="24"/>
          <w:lang w:eastAsia="en-AU"/>
          <w14:ligatures w14:val="none"/>
        </w:rPr>
        <w:t> </w:t>
      </w:r>
    </w:p>
    <w:p w14:paraId="2BEF3076" w14:textId="77777777" w:rsidR="00C94484" w:rsidRPr="00AA664B" w:rsidRDefault="00C94484" w:rsidP="00C94484">
      <w:pPr>
        <w:spacing w:after="0" w:line="240" w:lineRule="auto"/>
        <w:rPr>
          <w:rFonts w:ascii="Segoe UI" w:eastAsia="Times New Roman" w:hAnsi="Segoe UI" w:cs="Segoe UI"/>
          <w:kern w:val="0"/>
          <w:sz w:val="24"/>
          <w:szCs w:val="24"/>
          <w:lang w:eastAsia="en-AU"/>
          <w14:ligatures w14:val="none"/>
        </w:rPr>
      </w:pPr>
      <w:r w:rsidRPr="00AA664B">
        <w:rPr>
          <w:rFonts w:ascii="Segoe UI" w:eastAsia="Times New Roman" w:hAnsi="Segoe UI" w:cs="Segoe UI"/>
          <w:kern w:val="0"/>
          <w:sz w:val="24"/>
          <w:szCs w:val="24"/>
          <w:u w:val="single"/>
          <w:lang w:eastAsia="en-AU"/>
          <w14:ligatures w14:val="none"/>
        </w:rPr>
        <w:t>Event Changes &amp; Force Majeure</w:t>
      </w:r>
    </w:p>
    <w:p w14:paraId="1222E574"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SoCLA reserves the right to cancel, postpone, or convert the conference or any related event to a virtual format for any reason.</w:t>
      </w:r>
    </w:p>
    <w:p w14:paraId="5FC94AA9"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If cancellation occurs due to circumstances beyond our control, no refund will be payable. Examples include:</w:t>
      </w:r>
    </w:p>
    <w:p w14:paraId="48422616" w14:textId="77777777" w:rsidR="00C94484" w:rsidRPr="00AA664B" w:rsidRDefault="00C94484" w:rsidP="00C94484">
      <w:pPr>
        <w:numPr>
          <w:ilvl w:val="0"/>
          <w:numId w:val="3"/>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Natural disasters (fire, flood, earthquake, storm)</w:t>
      </w:r>
    </w:p>
    <w:p w14:paraId="2CBBFB07" w14:textId="77777777" w:rsidR="00C94484" w:rsidRPr="00AA664B" w:rsidRDefault="00C94484" w:rsidP="00C94484">
      <w:pPr>
        <w:numPr>
          <w:ilvl w:val="0"/>
          <w:numId w:val="3"/>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Pandemic or epidemic</w:t>
      </w:r>
    </w:p>
    <w:p w14:paraId="4299F7A3" w14:textId="77777777" w:rsidR="00C94484" w:rsidRPr="00AA664B" w:rsidRDefault="00C94484" w:rsidP="00C94484">
      <w:pPr>
        <w:numPr>
          <w:ilvl w:val="0"/>
          <w:numId w:val="3"/>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Government restrictions or regulations</w:t>
      </w:r>
    </w:p>
    <w:p w14:paraId="27BDF59E" w14:textId="77777777" w:rsidR="00C94484" w:rsidRPr="00AA664B" w:rsidRDefault="00C94484" w:rsidP="00C94484">
      <w:pPr>
        <w:numPr>
          <w:ilvl w:val="0"/>
          <w:numId w:val="3"/>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Civil unrest, strikes, or labour disputes</w:t>
      </w:r>
    </w:p>
    <w:p w14:paraId="3D847A3A" w14:textId="77777777" w:rsidR="00C94484" w:rsidRPr="00AA664B" w:rsidRDefault="00C94484" w:rsidP="00C94484">
      <w:pPr>
        <w:numPr>
          <w:ilvl w:val="0"/>
          <w:numId w:val="3"/>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Acts of terrorism or war</w:t>
      </w:r>
    </w:p>
    <w:p w14:paraId="1E51D605" w14:textId="77777777" w:rsidR="00C94484" w:rsidRPr="00AA664B" w:rsidRDefault="00C94484" w:rsidP="00C94484">
      <w:pPr>
        <w:numPr>
          <w:ilvl w:val="0"/>
          <w:numId w:val="3"/>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Failure of essential service providers (e.g., venue, catering, AV suppliers)</w:t>
      </w:r>
    </w:p>
    <w:p w14:paraId="448C3437" w14:textId="77777777" w:rsidR="00C94484" w:rsidRPr="00AA664B" w:rsidRDefault="00C94484" w:rsidP="00C94484">
      <w:pPr>
        <w:numPr>
          <w:ilvl w:val="0"/>
          <w:numId w:val="3"/>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Power outages or technology failures impacting virtual delivery</w:t>
      </w:r>
    </w:p>
    <w:p w14:paraId="51BBF6E0" w14:textId="77777777" w:rsidR="00C94484" w:rsidRPr="00AA664B" w:rsidRDefault="00C94484" w:rsidP="00C94484">
      <w:pPr>
        <w:spacing w:after="0" w:line="240" w:lineRule="auto"/>
        <w:ind w:left="540"/>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Recommendation: Please consider obtaining travel insurance that covers cancellations, including conference registration, accommodation, and travel expenses (noting that hotel refunds are governed by Hilton’s policy).</w:t>
      </w:r>
    </w:p>
    <w:p w14:paraId="32FAC17F"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58DE01F9"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6. Hotel Accommodation Terms</w:t>
      </w:r>
    </w:p>
    <w:p w14:paraId="57FE8951" w14:textId="77777777" w:rsidR="00C94484" w:rsidRPr="00AA664B" w:rsidRDefault="00C94484" w:rsidP="00C94484">
      <w:pPr>
        <w:numPr>
          <w:ilvl w:val="0"/>
          <w:numId w:val="4"/>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Cancellations: Hotel cancellations must be made at least 30 days prior to arrival (by Sunday, 5 April 2026 for arrivals from 5 May 2026). After this date, 100% of the stay will be charged.</w:t>
      </w:r>
    </w:p>
    <w:p w14:paraId="5AE6DCCA" w14:textId="77777777" w:rsidR="00C94484" w:rsidRPr="00AA664B" w:rsidRDefault="00C94484" w:rsidP="00C94484">
      <w:pPr>
        <w:numPr>
          <w:ilvl w:val="0"/>
          <w:numId w:val="4"/>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Reductions: Any reduction in room nights after the reservation cut-off date will be treated as cancelled room nights and will incur a charge equal to 100% of the full stay.</w:t>
      </w:r>
    </w:p>
    <w:p w14:paraId="65B10E97" w14:textId="77777777" w:rsidR="00C94484" w:rsidRPr="00AA664B" w:rsidRDefault="00C94484" w:rsidP="00C94484">
      <w:pPr>
        <w:numPr>
          <w:ilvl w:val="0"/>
          <w:numId w:val="4"/>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No-shows: Failure to arrive at the Hotel will result in a charge of 100% of the full stay (no refund is payable).</w:t>
      </w:r>
    </w:p>
    <w:p w14:paraId="5489B58F" w14:textId="77777777" w:rsidR="00C94484" w:rsidRPr="00AA664B" w:rsidRDefault="00C94484" w:rsidP="00C94484">
      <w:pPr>
        <w:numPr>
          <w:ilvl w:val="0"/>
          <w:numId w:val="4"/>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Admin Fee: Please note that the displayed price includes a small administrative fee to cover booking arrangements.</w:t>
      </w:r>
    </w:p>
    <w:p w14:paraId="42070EB5" w14:textId="77777777" w:rsidR="00C94484" w:rsidRPr="00AA664B" w:rsidRDefault="00C94484" w:rsidP="00C94484">
      <w:pPr>
        <w:numPr>
          <w:ilvl w:val="0"/>
          <w:numId w:val="4"/>
        </w:numPr>
        <w:spacing w:after="0" w:line="240" w:lineRule="auto"/>
        <w:textAlignment w:val="center"/>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Hotel Management: SoCLA will provide your booking details to the Hilton Hotel. Any requests or upgrades are at the discretion of the Hilton Hotel.</w:t>
      </w:r>
    </w:p>
    <w:p w14:paraId="23CC14D7"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w:t>
      </w:r>
    </w:p>
    <w:p w14:paraId="674842D6"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u w:val="single"/>
          <w:lang w:eastAsia="en-AU"/>
          <w14:ligatures w14:val="none"/>
        </w:rPr>
        <w:t>Separate Bookings &amp; Responsibility</w:t>
      </w:r>
    </w:p>
    <w:p w14:paraId="5A38F790"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Hotel accommodation is booked and held directly with the Hilton Hotel and is independent of your conference registration. SoCLA is not responsible for any accommodation costs or losses if the conference is cancelled, postponed, rescheduled, or converted to a virtual format.</w:t>
      </w:r>
    </w:p>
    <w:p w14:paraId="567E37C3"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All hotel booking cancellations, changes, fees, substitutions, and refunds are governed solely by the Hilton Hotel’s cancellation policy and terms of business. Any changes to hotel bookings must be arranged directly with the Hilton Hotel.</w:t>
      </w:r>
    </w:p>
    <w:p w14:paraId="432E159F"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5A00502C"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7. Payment Terms</w:t>
      </w:r>
    </w:p>
    <w:p w14:paraId="591098E6"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Registration is confirmed upon full payment.</w:t>
      </w:r>
    </w:p>
    <w:p w14:paraId="6CC6A57D"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xml:space="preserve">Payment must be made via credit card at the time of booking unless alternative arrangements have been communicated. </w:t>
      </w:r>
    </w:p>
    <w:p w14:paraId="1BC7A8DE"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xml:space="preserve">Unpaid registrations may be cancelled by SoCLA. Where the incorrect registration type has been selected by a delegate or event attendee, SoCLA reserves the right to cancel a registration or issue an invoice for the difference between the registration or event type selected, and the applicable registration or event type. </w:t>
      </w:r>
    </w:p>
    <w:p w14:paraId="55A61B3F"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60702E7B"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8. Code of Conduct &amp; Compliance</w:t>
      </w:r>
    </w:p>
    <w:p w14:paraId="4AB4026B"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All attendees and guests must comply with SoCLA’s Code of Conduct for Behaviour, as outlined in the Membership Policy (including Attachment 4: Expected Standards of Behaviour for Members and Event Attendees).</w:t>
      </w:r>
    </w:p>
    <w:p w14:paraId="76CDA5A0" w14:textId="77777777" w:rsidR="00C94484" w:rsidRPr="00AA664B" w:rsidRDefault="00C94484" w:rsidP="00C94484">
      <w:pPr>
        <w:spacing w:after="0" w:line="240" w:lineRule="auto"/>
        <w:rPr>
          <w:rFonts w:ascii="Calibri" w:eastAsia="Times New Roman" w:hAnsi="Calibri" w:cs="Calibri"/>
          <w:kern w:val="0"/>
          <w:lang w:eastAsia="en-AU"/>
          <w14:ligatures w14:val="none"/>
        </w:rPr>
      </w:pPr>
      <w:r w:rsidRPr="00AA664B">
        <w:rPr>
          <w:rFonts w:ascii="Segoe UI" w:eastAsia="Times New Roman" w:hAnsi="Segoe UI" w:cs="Segoe UI"/>
          <w:kern w:val="0"/>
          <w:sz w:val="21"/>
          <w:szCs w:val="21"/>
          <w:lang w:eastAsia="en-AU"/>
          <w14:ligatures w14:val="none"/>
        </w:rPr>
        <w:t xml:space="preserve">Policies, including those relating to diversity, are available </w:t>
      </w:r>
      <w:proofErr w:type="spellStart"/>
      <w:r w:rsidRPr="00AA664B">
        <w:rPr>
          <w:rFonts w:ascii="Segoe UI" w:eastAsia="Times New Roman" w:hAnsi="Segoe UI" w:cs="Segoe UI"/>
          <w:kern w:val="0"/>
          <w:sz w:val="21"/>
          <w:szCs w:val="21"/>
          <w:lang w:eastAsia="en-AU"/>
          <w14:ligatures w14:val="none"/>
        </w:rPr>
        <w:t>at:</w:t>
      </w:r>
      <w:hyperlink r:id="rId5" w:history="1">
        <w:r w:rsidRPr="00AA664B">
          <w:rPr>
            <w:rFonts w:ascii="Calibri" w:eastAsia="Times New Roman" w:hAnsi="Calibri" w:cs="Calibri"/>
            <w:color w:val="0000FF"/>
            <w:kern w:val="0"/>
            <w:u w:val="single"/>
            <w:lang w:eastAsia="en-AU"/>
            <w14:ligatures w14:val="none"/>
          </w:rPr>
          <w:t>Policies</w:t>
        </w:r>
        <w:proofErr w:type="spellEnd"/>
        <w:r w:rsidRPr="00AA664B">
          <w:rPr>
            <w:rFonts w:ascii="Calibri" w:eastAsia="Times New Roman" w:hAnsi="Calibri" w:cs="Calibri"/>
            <w:color w:val="0000FF"/>
            <w:kern w:val="0"/>
            <w:u w:val="single"/>
            <w:lang w:eastAsia="en-AU"/>
            <w14:ligatures w14:val="none"/>
          </w:rPr>
          <w:t xml:space="preserve"> and Forms | Society of Construction Law Australia</w:t>
        </w:r>
      </w:hyperlink>
    </w:p>
    <w:p w14:paraId="4A57D466"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w:t>
      </w:r>
    </w:p>
    <w:p w14:paraId="267C2ED7"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051DA329"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9. Liability Disclaimer</w:t>
      </w:r>
    </w:p>
    <w:p w14:paraId="5D090015"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SoCLA accepts no liability for any loss, injury, or damage sustained by participants during the conference or related events.</w:t>
      </w:r>
    </w:p>
    <w:p w14:paraId="3D551B91"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Participants attend at their own risk and are responsible for their own insurance coverage.</w:t>
      </w:r>
    </w:p>
    <w:p w14:paraId="050F5FC6"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39D9D718"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10. Accessibility &amp; Special Assistance</w:t>
      </w:r>
    </w:p>
    <w:p w14:paraId="751D74FA"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xml:space="preserve">If you require accessibility support (e.g., wheelchair access, hearing assistance), please advise us at the time of booking and no later than 14 </w:t>
      </w:r>
      <w:proofErr w:type="gramStart"/>
      <w:r w:rsidRPr="00AA664B">
        <w:rPr>
          <w:rFonts w:ascii="Segoe UI" w:eastAsia="Times New Roman" w:hAnsi="Segoe UI" w:cs="Segoe UI"/>
          <w:kern w:val="0"/>
          <w:sz w:val="21"/>
          <w:szCs w:val="21"/>
          <w:lang w:eastAsia="en-AU"/>
          <w14:ligatures w14:val="none"/>
        </w:rPr>
        <w:t>days'</w:t>
      </w:r>
      <w:proofErr w:type="gramEnd"/>
      <w:r w:rsidRPr="00AA664B">
        <w:rPr>
          <w:rFonts w:ascii="Segoe UI" w:eastAsia="Times New Roman" w:hAnsi="Segoe UI" w:cs="Segoe UI"/>
          <w:kern w:val="0"/>
          <w:sz w:val="21"/>
          <w:szCs w:val="21"/>
          <w:lang w:eastAsia="en-AU"/>
          <w14:ligatures w14:val="none"/>
        </w:rPr>
        <w:t xml:space="preserve"> prior to the event so arrangements can be made.</w:t>
      </w:r>
    </w:p>
    <w:p w14:paraId="061DA30B"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3A04992A"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11. Intellectual Property</w:t>
      </w:r>
    </w:p>
    <w:p w14:paraId="5D74B4A0"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All conference materials, including presentations, are provided for personal use only and may not be reproduced, distributed, or shared without prior written permission from SoCLA or the respective author.</w:t>
      </w:r>
    </w:p>
    <w:p w14:paraId="61424C31"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Conference speakers are required to agree to separate speaker terms and conditions covering use by SoCLA and other parties of materials presented at the conference.</w:t>
      </w:r>
    </w:p>
    <w:p w14:paraId="4771ED7C"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78B08749"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12. Conference App</w:t>
      </w:r>
    </w:p>
    <w:p w14:paraId="2742E22C"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xml:space="preserve">The SoCLA Conference will be paperless and </w:t>
      </w:r>
      <w:proofErr w:type="gramStart"/>
      <w:r w:rsidRPr="00AA664B">
        <w:rPr>
          <w:rFonts w:ascii="Segoe UI" w:eastAsia="Times New Roman" w:hAnsi="Segoe UI" w:cs="Segoe UI"/>
          <w:kern w:val="0"/>
          <w:sz w:val="21"/>
          <w:szCs w:val="21"/>
          <w:lang w:eastAsia="en-AU"/>
          <w14:ligatures w14:val="none"/>
        </w:rPr>
        <w:t>minimal-contact</w:t>
      </w:r>
      <w:proofErr w:type="gramEnd"/>
      <w:r w:rsidRPr="00AA664B">
        <w:rPr>
          <w:rFonts w:ascii="Segoe UI" w:eastAsia="Times New Roman" w:hAnsi="Segoe UI" w:cs="Segoe UI"/>
          <w:kern w:val="0"/>
          <w:sz w:val="21"/>
          <w:szCs w:val="21"/>
          <w:lang w:eastAsia="en-AU"/>
          <w14:ligatures w14:val="none"/>
        </w:rPr>
        <w:t>, with all essential information provided via the Conference App.</w:t>
      </w:r>
    </w:p>
    <w:p w14:paraId="4BEB8621"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The app includes details about sponsors, speakers, and attendees, and offers a networking platform for registered participants and sponsors. Instructions will be shared closer to the event.</w:t>
      </w:r>
    </w:p>
    <w:p w14:paraId="25857928"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0C85ACDB"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7F44FF4F" w14:textId="77777777" w:rsidR="00C94484" w:rsidRPr="00AA664B" w:rsidRDefault="00C94484" w:rsidP="00C94484">
      <w:pPr>
        <w:spacing w:after="0" w:line="240" w:lineRule="auto"/>
        <w:rPr>
          <w:rFonts w:ascii="Segoe UI" w:eastAsia="Times New Roman" w:hAnsi="Segoe UI" w:cs="Segoe UI"/>
          <w:kern w:val="0"/>
          <w:sz w:val="32"/>
          <w:szCs w:val="32"/>
          <w:lang w:eastAsia="en-AU"/>
          <w14:ligatures w14:val="none"/>
        </w:rPr>
      </w:pPr>
      <w:r w:rsidRPr="00AA664B">
        <w:rPr>
          <w:rFonts w:ascii="Segoe UI" w:eastAsia="Times New Roman" w:hAnsi="Segoe UI" w:cs="Segoe UI"/>
          <w:kern w:val="0"/>
          <w:sz w:val="32"/>
          <w:szCs w:val="32"/>
          <w:lang w:eastAsia="en-AU"/>
          <w14:ligatures w14:val="none"/>
        </w:rPr>
        <w:t>14. Dietary Requirements</w:t>
      </w:r>
    </w:p>
    <w:p w14:paraId="15036AEB"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Dietary requirements must be communicated in advance, ideally at the time of booking. SoCLA and its venues may not be able to accommodate all requirements, particularly those provided within 14 days of the conference start date. In addition to notifying us at the time of booking, please make yourself known to hospitality staff at the Hilton Hotel or any event venue.</w:t>
      </w:r>
    </w:p>
    <w:p w14:paraId="3F297E88"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w:t>
      </w:r>
    </w:p>
    <w:p w14:paraId="35E7F3FC"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For any questions, email events@scl.org.au.</w:t>
      </w:r>
    </w:p>
    <w:p w14:paraId="1E87D674" w14:textId="77777777" w:rsidR="00C94484" w:rsidRPr="00AA664B" w:rsidRDefault="00C94484" w:rsidP="00C94484">
      <w:pPr>
        <w:spacing w:after="0" w:line="300" w:lineRule="atLeast"/>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5C3AD3B1" w14:textId="77777777" w:rsidR="00C94484" w:rsidRPr="00AA664B" w:rsidRDefault="00C94484" w:rsidP="00C94484">
      <w:pPr>
        <w:spacing w:after="0" w:line="240" w:lineRule="auto"/>
        <w:rPr>
          <w:rFonts w:ascii="Segoe UI" w:eastAsia="Times New Roman" w:hAnsi="Segoe UI" w:cs="Segoe UI"/>
          <w:kern w:val="0"/>
          <w:sz w:val="21"/>
          <w:szCs w:val="21"/>
          <w:lang w:eastAsia="en-AU"/>
          <w14:ligatures w14:val="none"/>
        </w:rPr>
      </w:pPr>
      <w:r w:rsidRPr="00AA664B">
        <w:rPr>
          <w:rFonts w:ascii="Segoe UI" w:eastAsia="Times New Roman" w:hAnsi="Segoe UI" w:cs="Segoe UI"/>
          <w:kern w:val="0"/>
          <w:sz w:val="21"/>
          <w:szCs w:val="21"/>
          <w:lang w:eastAsia="en-AU"/>
          <w14:ligatures w14:val="none"/>
        </w:rPr>
        <w:t>© Society of Construction Law Australia (SoCLA) 2026. All rights reserved.</w:t>
      </w:r>
    </w:p>
    <w:p w14:paraId="57D805F1" w14:textId="77777777" w:rsidR="00C94484" w:rsidRPr="00AA664B" w:rsidRDefault="00C94484" w:rsidP="00C94484">
      <w:pPr>
        <w:spacing w:after="0" w:line="240" w:lineRule="auto"/>
        <w:rPr>
          <w:rFonts w:ascii="Calibri" w:eastAsia="Times New Roman" w:hAnsi="Calibri" w:cs="Calibri"/>
          <w:kern w:val="0"/>
          <w:lang w:eastAsia="en-AU"/>
          <w14:ligatures w14:val="none"/>
        </w:rPr>
      </w:pPr>
      <w:r w:rsidRPr="00AA664B">
        <w:rPr>
          <w:rFonts w:ascii="Calibri" w:eastAsia="Times New Roman" w:hAnsi="Calibri" w:cs="Calibri"/>
          <w:kern w:val="0"/>
          <w:lang w:eastAsia="en-AU"/>
          <w14:ligatures w14:val="none"/>
        </w:rPr>
        <w:t> </w:t>
      </w:r>
    </w:p>
    <w:p w14:paraId="1568C3D2" w14:textId="77777777" w:rsidR="00C94484" w:rsidRDefault="00C94484" w:rsidP="00C94484"/>
    <w:p w14:paraId="14DD9DE0" w14:textId="77777777" w:rsidR="00F3113C" w:rsidRDefault="00F3113C"/>
    <w:sectPr w:rsidR="00F31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DE3"/>
    <w:multiLevelType w:val="multilevel"/>
    <w:tmpl w:val="158E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A3B50"/>
    <w:multiLevelType w:val="multilevel"/>
    <w:tmpl w:val="7660B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5409A3"/>
    <w:multiLevelType w:val="multilevel"/>
    <w:tmpl w:val="C5D4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D1448C"/>
    <w:multiLevelType w:val="multilevel"/>
    <w:tmpl w:val="F94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7695185">
    <w:abstractNumId w:val="1"/>
  </w:num>
  <w:num w:numId="2" w16cid:durableId="504832310">
    <w:abstractNumId w:val="0"/>
  </w:num>
  <w:num w:numId="3" w16cid:durableId="96876920">
    <w:abstractNumId w:val="2"/>
  </w:num>
  <w:num w:numId="4" w16cid:durableId="1004672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84"/>
    <w:rsid w:val="00271643"/>
    <w:rsid w:val="009A4652"/>
    <w:rsid w:val="00B3289D"/>
    <w:rsid w:val="00C94484"/>
    <w:rsid w:val="00F31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6C62"/>
  <w15:chartTrackingRefBased/>
  <w15:docId w15:val="{EF3AFCBD-EAD3-41E3-A41E-38C52F98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84"/>
  </w:style>
  <w:style w:type="paragraph" w:styleId="Heading1">
    <w:name w:val="heading 1"/>
    <w:basedOn w:val="Normal"/>
    <w:next w:val="Normal"/>
    <w:link w:val="Heading1Char"/>
    <w:uiPriority w:val="9"/>
    <w:qFormat/>
    <w:rsid w:val="00C94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484"/>
    <w:rPr>
      <w:rFonts w:eastAsiaTheme="majorEastAsia" w:cstheme="majorBidi"/>
      <w:color w:val="272727" w:themeColor="text1" w:themeTint="D8"/>
    </w:rPr>
  </w:style>
  <w:style w:type="paragraph" w:styleId="Title">
    <w:name w:val="Title"/>
    <w:basedOn w:val="Normal"/>
    <w:next w:val="Normal"/>
    <w:link w:val="TitleChar"/>
    <w:uiPriority w:val="10"/>
    <w:qFormat/>
    <w:rsid w:val="00C94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484"/>
    <w:pPr>
      <w:spacing w:before="160"/>
      <w:jc w:val="center"/>
    </w:pPr>
    <w:rPr>
      <w:i/>
      <w:iCs/>
      <w:color w:val="404040" w:themeColor="text1" w:themeTint="BF"/>
    </w:rPr>
  </w:style>
  <w:style w:type="character" w:customStyle="1" w:styleId="QuoteChar">
    <w:name w:val="Quote Char"/>
    <w:basedOn w:val="DefaultParagraphFont"/>
    <w:link w:val="Quote"/>
    <w:uiPriority w:val="29"/>
    <w:rsid w:val="00C94484"/>
    <w:rPr>
      <w:i/>
      <w:iCs/>
      <w:color w:val="404040" w:themeColor="text1" w:themeTint="BF"/>
    </w:rPr>
  </w:style>
  <w:style w:type="paragraph" w:styleId="ListParagraph">
    <w:name w:val="List Paragraph"/>
    <w:basedOn w:val="Normal"/>
    <w:uiPriority w:val="34"/>
    <w:qFormat/>
    <w:rsid w:val="00C94484"/>
    <w:pPr>
      <w:ind w:left="720"/>
      <w:contextualSpacing/>
    </w:pPr>
  </w:style>
  <w:style w:type="character" w:styleId="IntenseEmphasis">
    <w:name w:val="Intense Emphasis"/>
    <w:basedOn w:val="DefaultParagraphFont"/>
    <w:uiPriority w:val="21"/>
    <w:qFormat/>
    <w:rsid w:val="00C94484"/>
    <w:rPr>
      <w:i/>
      <w:iCs/>
      <w:color w:val="0F4761" w:themeColor="accent1" w:themeShade="BF"/>
    </w:rPr>
  </w:style>
  <w:style w:type="paragraph" w:styleId="IntenseQuote">
    <w:name w:val="Intense Quote"/>
    <w:basedOn w:val="Normal"/>
    <w:next w:val="Normal"/>
    <w:link w:val="IntenseQuoteChar"/>
    <w:uiPriority w:val="30"/>
    <w:qFormat/>
    <w:rsid w:val="00C94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484"/>
    <w:rPr>
      <w:i/>
      <w:iCs/>
      <w:color w:val="0F4761" w:themeColor="accent1" w:themeShade="BF"/>
    </w:rPr>
  </w:style>
  <w:style w:type="character" w:styleId="IntenseReference">
    <w:name w:val="Intense Reference"/>
    <w:basedOn w:val="DefaultParagraphFont"/>
    <w:uiPriority w:val="32"/>
    <w:qFormat/>
    <w:rsid w:val="00C944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l.org.au/about/policies-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Kezia Adams</dc:creator>
  <cp:keywords/>
  <dc:description/>
  <cp:lastModifiedBy>Kezia Adams</cp:lastModifiedBy>
  <cp:revision>1</cp:revision>
  <dcterms:created xsi:type="dcterms:W3CDTF">2026-01-14T22:35:00Z</dcterms:created>
  <dcterms:modified xsi:type="dcterms:W3CDTF">2026-01-15T04:28:00Z</dcterms:modified>
</cp:coreProperties>
</file>