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rPr>
          <w:rFonts w:ascii="Arial" w:cs="Arial" w:hAnsi="Arial" w:eastAsia="Arial"/>
        </w:rPr>
      </w:pPr>
      <w:r>
        <w:rPr>
          <w:rFonts w:ascii="Arial" w:hAnsi="Arial"/>
          <w:b w:val="1"/>
          <w:bCs w:val="1"/>
          <w:rtl w:val="0"/>
          <w:lang w:val="en-US"/>
        </w:rPr>
        <w:t>Introducing PrEP For GP</w:t>
      </w:r>
      <w:r>
        <w:rPr>
          <w:rFonts w:ascii="Arial" w:hAnsi="Arial" w:hint="default"/>
          <w:b w:val="1"/>
          <w:bCs w:val="1"/>
          <w:rtl w:val="0"/>
          <w:lang w:val="en-US"/>
        </w:rPr>
        <w:t>’</w:t>
      </w:r>
      <w:r>
        <w:rPr>
          <w:rFonts w:ascii="Arial" w:hAnsi="Arial"/>
          <w:b w:val="1"/>
          <w:bCs w:val="1"/>
          <w:rtl w:val="0"/>
          <w:lang w:val="en-US"/>
        </w:rPr>
        <w:t>s: Medical HIV Prevention For People With Medium To High Risk Of Acquiring HIV.</w:t>
      </w:r>
    </w:p>
    <w:p>
      <w:pPr>
        <w:pStyle w:val="Body"/>
        <w:spacing w:after="0"/>
        <w:rPr>
          <w:rFonts w:ascii="Arial" w:cs="Arial" w:hAnsi="Arial" w:eastAsia="Arial"/>
        </w:rPr>
      </w:pPr>
    </w:p>
    <w:p>
      <w:pPr>
        <w:pStyle w:val="Body"/>
        <w:spacing w:after="0"/>
        <w:rPr>
          <w:rFonts w:ascii="Arial" w:cs="Arial" w:hAnsi="Arial" w:eastAsia="Arial"/>
          <w:b w:val="1"/>
          <w:bCs w:val="1"/>
        </w:rPr>
      </w:pPr>
      <w:r>
        <w:rPr>
          <w:rFonts w:ascii="Arial" w:hAnsi="Arial"/>
          <w:b w:val="1"/>
          <w:bCs w:val="1"/>
          <w:rtl w:val="0"/>
          <w:lang w:val="en-US"/>
        </w:rPr>
        <w:t>Author and affiliations</w:t>
      </w:r>
    </w:p>
    <w:p>
      <w:pPr>
        <w:pStyle w:val="Body"/>
        <w:spacing w:after="0"/>
        <w:rPr>
          <w:rFonts w:ascii="Arial" w:cs="Arial" w:hAnsi="Arial" w:eastAsia="Arial"/>
          <w:b w:val="1"/>
          <w:bCs w:val="1"/>
        </w:rPr>
      </w:pPr>
    </w:p>
    <w:p>
      <w:pPr>
        <w:pStyle w:val="Body"/>
        <w:spacing w:after="0"/>
        <w:rPr>
          <w:rFonts w:ascii="Arial" w:cs="Arial" w:hAnsi="Arial" w:eastAsia="Arial"/>
        </w:rPr>
      </w:pPr>
      <w:r>
        <w:rPr>
          <w:rFonts w:ascii="Arial" w:hAnsi="Arial"/>
          <w:rtl w:val="0"/>
          <w:lang w:val="en-US"/>
        </w:rPr>
        <w:t xml:space="preserve">Dr George Forgan-Smith, </w:t>
      </w:r>
    </w:p>
    <w:p>
      <w:pPr>
        <w:pStyle w:val="Body"/>
        <w:spacing w:after="0"/>
        <w:rPr>
          <w:rFonts w:ascii="Arial" w:cs="Arial" w:hAnsi="Arial" w:eastAsia="Arial"/>
        </w:rPr>
      </w:pPr>
      <w:r>
        <w:rPr>
          <w:rFonts w:ascii="Arial" w:hAnsi="Arial"/>
          <w:rtl w:val="0"/>
          <w:lang w:val="en-US"/>
        </w:rPr>
        <w:t>Researcher with PrEPx Study The Alfred Hospital Melbourne Victoria</w:t>
      </w:r>
    </w:p>
    <w:p>
      <w:pPr>
        <w:pStyle w:val="Body"/>
        <w:spacing w:after="0"/>
        <w:rPr>
          <w:rFonts w:ascii="Arial" w:cs="Arial" w:hAnsi="Arial" w:eastAsia="Arial"/>
        </w:rPr>
      </w:pPr>
    </w:p>
    <w:p>
      <w:pPr>
        <w:pStyle w:val="Body"/>
        <w:spacing w:after="0"/>
        <w:rPr>
          <w:rFonts w:ascii="Arial" w:cs="Arial" w:hAnsi="Arial" w:eastAsia="Arial"/>
        </w:rPr>
      </w:pPr>
    </w:p>
    <w:p>
      <w:pPr>
        <w:pStyle w:val="Body"/>
        <w:spacing w:after="0"/>
        <w:rPr>
          <w:rFonts w:ascii="Arial" w:cs="Arial" w:hAnsi="Arial" w:eastAsia="Arial"/>
          <w:b w:val="1"/>
          <w:bCs w:val="1"/>
        </w:rPr>
      </w:pPr>
      <w:r>
        <w:rPr>
          <w:rFonts w:ascii="Arial" w:hAnsi="Arial"/>
          <w:b w:val="1"/>
          <w:bCs w:val="1"/>
          <w:rtl w:val="0"/>
          <w:lang w:val="en-US"/>
        </w:rPr>
        <w:t>Background</w:t>
      </w:r>
    </w:p>
    <w:p>
      <w:pPr>
        <w:pStyle w:val="No Spacing"/>
        <w:rPr>
          <w:rFonts w:ascii="Arial" w:cs="Arial" w:hAnsi="Arial" w:eastAsia="Arial"/>
        </w:rPr>
      </w:pPr>
    </w:p>
    <w:p>
      <w:pPr>
        <w:pStyle w:val="No Spacing"/>
        <w:rPr>
          <w:rFonts w:ascii="Arial" w:cs="Arial" w:hAnsi="Arial" w:eastAsia="Arial"/>
        </w:rPr>
      </w:pPr>
      <w:r>
        <w:rPr>
          <w:rFonts w:ascii="Arial" w:hAnsi="Arial"/>
          <w:rtl w:val="0"/>
          <w:lang w:val="en-US"/>
        </w:rPr>
        <w:t>PrEP - Pre exposure prophylaxis is an established medical treatment for preventing HIV infection. TGA approved in 2016, PrEP had only been available in Australia via personal importation or participation in studies such as PrEPx in Victoria.</w:t>
      </w:r>
    </w:p>
    <w:p>
      <w:pPr>
        <w:pStyle w:val="No Spacing"/>
        <w:rPr>
          <w:rFonts w:ascii="Arial" w:cs="Arial" w:hAnsi="Arial" w:eastAsia="Arial"/>
        </w:rPr>
      </w:pPr>
      <w:r>
        <w:rPr>
          <w:rFonts w:ascii="Arial" w:hAnsi="Arial"/>
          <w:rtl w:val="0"/>
          <w:lang w:val="en-US"/>
        </w:rPr>
        <w:t xml:space="preserve">In February 2018 PrEP was approved for PBS listing. </w:t>
      </w:r>
      <w:r>
        <w:rPr>
          <w:rFonts w:ascii="Arial Unicode MS" w:cs="Arial Unicode MS" w:hAnsi="Arial Unicode MS" w:eastAsia="Arial Unicode MS"/>
          <w:b w:val="0"/>
          <w:bCs w:val="0"/>
          <w:i w:val="0"/>
          <w:iCs w:val="0"/>
        </w:rPr>
        <w:br w:type="textWrapping"/>
      </w:r>
      <w:r>
        <w:rPr>
          <w:rFonts w:ascii="Arial" w:hAnsi="Arial"/>
          <w:rtl w:val="0"/>
          <w:lang w:val="en-US"/>
        </w:rPr>
        <w:t>This will increase ease of access but also demand on GP</w:t>
      </w:r>
      <w:r>
        <w:rPr>
          <w:rFonts w:ascii="Arial" w:hAnsi="Arial" w:hint="default"/>
          <w:rtl w:val="0"/>
          <w:lang w:val="en-US"/>
        </w:rPr>
        <w:t>’</w:t>
      </w:r>
      <w:r>
        <w:rPr>
          <w:rFonts w:ascii="Arial" w:hAnsi="Arial"/>
          <w:rtl w:val="0"/>
          <w:lang w:val="en-US"/>
        </w:rPr>
        <w:t>s with patients seeking education and access to this HIV prevention intervention</w:t>
      </w:r>
    </w:p>
    <w:p>
      <w:pPr>
        <w:pStyle w:val="No Spacing"/>
        <w:rPr>
          <w:rFonts w:ascii="Arial" w:cs="Arial" w:hAnsi="Arial" w:eastAsia="Arial"/>
        </w:rPr>
      </w:pPr>
    </w:p>
    <w:p>
      <w:pPr>
        <w:pStyle w:val="Body"/>
        <w:spacing w:after="0"/>
        <w:rPr>
          <w:rFonts w:ascii="Arial" w:cs="Arial" w:hAnsi="Arial" w:eastAsia="Arial"/>
          <w:b w:val="1"/>
          <w:bCs w:val="1"/>
        </w:rPr>
      </w:pPr>
      <w:r>
        <w:rPr>
          <w:rFonts w:ascii="Arial" w:hAnsi="Arial"/>
          <w:b w:val="1"/>
          <w:bCs w:val="1"/>
          <w:rtl w:val="0"/>
        </w:rPr>
        <w:t>Aims</w:t>
      </w:r>
    </w:p>
    <w:p>
      <w:pPr>
        <w:pStyle w:val="No Spacing"/>
        <w:rPr>
          <w:rFonts w:ascii="Arial" w:cs="Arial" w:hAnsi="Arial" w:eastAsia="Arial"/>
          <w:b w:val="1"/>
          <w:bCs w:val="1"/>
        </w:rPr>
      </w:pPr>
    </w:p>
    <w:p>
      <w:pPr>
        <w:pStyle w:val="No Spacing"/>
        <w:rPr>
          <w:rFonts w:ascii="Arial" w:cs="Arial" w:hAnsi="Arial" w:eastAsia="Arial"/>
        </w:rPr>
      </w:pPr>
      <w:r>
        <w:rPr>
          <w:rFonts w:ascii="Arial" w:hAnsi="Arial"/>
          <w:rtl w:val="0"/>
          <w:lang w:val="en-US"/>
        </w:rPr>
        <w:t>This presentation aims to introduce PrEP to interested GP</w:t>
      </w:r>
      <w:r>
        <w:rPr>
          <w:rFonts w:ascii="Arial" w:hAnsi="Arial" w:hint="default"/>
          <w:rtl w:val="0"/>
          <w:lang w:val="en-US"/>
        </w:rPr>
        <w:t>’</w:t>
      </w:r>
      <w:r>
        <w:rPr>
          <w:rFonts w:ascii="Arial" w:hAnsi="Arial"/>
          <w:rtl w:val="0"/>
          <w:lang w:val="en-US"/>
        </w:rPr>
        <w:t>s.</w:t>
      </w:r>
      <w:r>
        <w:rPr>
          <w:rFonts w:ascii="Arial Unicode MS" w:cs="Arial Unicode MS" w:hAnsi="Arial Unicode MS" w:eastAsia="Arial Unicode MS"/>
          <w:b w:val="0"/>
          <w:bCs w:val="0"/>
          <w:i w:val="0"/>
          <w:iCs w:val="0"/>
        </w:rPr>
        <w:br w:type="textWrapping"/>
      </w:r>
      <w:r>
        <w:rPr>
          <w:rFonts w:ascii="Arial" w:hAnsi="Arial"/>
          <w:rtl w:val="0"/>
          <w:lang w:val="en-US"/>
        </w:rPr>
        <w:t>Post presentation GP</w:t>
      </w:r>
      <w:r>
        <w:rPr>
          <w:rFonts w:ascii="Arial" w:hAnsi="Arial" w:hint="default"/>
          <w:rtl w:val="0"/>
          <w:lang w:val="en-US"/>
        </w:rPr>
        <w:t>’</w:t>
      </w:r>
      <w:r>
        <w:rPr>
          <w:rFonts w:ascii="Arial" w:hAnsi="Arial"/>
          <w:rtl w:val="0"/>
          <w:lang w:val="en-US"/>
        </w:rPr>
        <w:t>s will understand PrEP</w:t>
      </w:r>
      <w:r>
        <w:rPr>
          <w:rFonts w:ascii="Arial" w:hAnsi="Arial" w:hint="default"/>
          <w:rtl w:val="0"/>
          <w:lang w:val="en-US"/>
        </w:rPr>
        <w:t>’</w:t>
      </w:r>
      <w:r>
        <w:rPr>
          <w:rFonts w:ascii="Arial" w:hAnsi="Arial"/>
          <w:rtl w:val="0"/>
          <w:lang w:val="en-US"/>
        </w:rPr>
        <w:t>s mechanism of action as well as risks, side effects, initiation of treatment and importance of regular follow up.</w:t>
      </w:r>
    </w:p>
    <w:p>
      <w:pPr>
        <w:pStyle w:val="No Spacing"/>
        <w:rPr>
          <w:rFonts w:ascii="Arial" w:cs="Arial" w:hAnsi="Arial" w:eastAsia="Arial"/>
        </w:rPr>
      </w:pPr>
    </w:p>
    <w:p>
      <w:pPr>
        <w:pStyle w:val="Body"/>
        <w:spacing w:after="0"/>
        <w:rPr>
          <w:rFonts w:ascii="Arial" w:cs="Arial" w:hAnsi="Arial" w:eastAsia="Arial"/>
          <w:b w:val="1"/>
          <w:bCs w:val="1"/>
        </w:rPr>
      </w:pPr>
      <w:r>
        <w:rPr>
          <w:rFonts w:ascii="Arial" w:hAnsi="Arial"/>
          <w:b w:val="1"/>
          <w:bCs w:val="1"/>
          <w:rtl w:val="0"/>
          <w:lang w:val="en-US"/>
        </w:rPr>
        <w:t>Method</w:t>
      </w:r>
    </w:p>
    <w:p>
      <w:pPr>
        <w:pStyle w:val="No Spacing"/>
        <w:rPr>
          <w:rFonts w:ascii="Arial" w:cs="Arial" w:hAnsi="Arial" w:eastAsia="Arial"/>
          <w:b w:val="1"/>
          <w:bCs w:val="1"/>
        </w:rPr>
      </w:pPr>
    </w:p>
    <w:p>
      <w:pPr>
        <w:pStyle w:val="No Spacing"/>
        <w:rPr>
          <w:rFonts w:ascii="Arial" w:cs="Arial" w:hAnsi="Arial" w:eastAsia="Arial"/>
        </w:rPr>
      </w:pPr>
      <w:r>
        <w:rPr>
          <w:rFonts w:ascii="Arial" w:hAnsi="Arial"/>
          <w:rtl w:val="0"/>
          <w:lang w:val="en-US"/>
        </w:rPr>
        <w:t xml:space="preserve">It is hoped that this presentation may spark interest and further education in general practitioners who have contact with patents how may be at medium to high risk of HIV infection. </w:t>
      </w:r>
    </w:p>
    <w:p>
      <w:pPr>
        <w:pStyle w:val="No Spacing"/>
        <w:rPr>
          <w:rFonts w:ascii="Arial" w:cs="Arial" w:hAnsi="Arial" w:eastAsia="Arial"/>
        </w:rPr>
      </w:pPr>
    </w:p>
    <w:p>
      <w:pPr>
        <w:pStyle w:val="Body"/>
        <w:spacing w:after="0"/>
        <w:rPr>
          <w:rFonts w:ascii="Arial" w:cs="Arial" w:hAnsi="Arial" w:eastAsia="Arial"/>
          <w:b w:val="1"/>
          <w:bCs w:val="1"/>
        </w:rPr>
      </w:pPr>
      <w:r>
        <w:rPr>
          <w:rFonts w:ascii="Arial" w:hAnsi="Arial"/>
          <w:b w:val="1"/>
          <w:bCs w:val="1"/>
          <w:rtl w:val="0"/>
          <w:lang w:val="en-US"/>
        </w:rPr>
        <w:t>Results</w:t>
      </w:r>
    </w:p>
    <w:p>
      <w:pPr>
        <w:pStyle w:val="No Spacing"/>
        <w:rPr>
          <w:rFonts w:ascii="Arial" w:cs="Arial" w:hAnsi="Arial" w:eastAsia="Arial"/>
          <w:b w:val="1"/>
          <w:bCs w:val="1"/>
        </w:rPr>
      </w:pPr>
    </w:p>
    <w:p>
      <w:pPr>
        <w:pStyle w:val="No Spacing"/>
        <w:rPr>
          <w:rFonts w:ascii="Arial" w:cs="Arial" w:hAnsi="Arial" w:eastAsia="Arial"/>
        </w:rPr>
      </w:pPr>
      <w:r>
        <w:rPr>
          <w:rFonts w:ascii="Arial" w:hAnsi="Arial"/>
          <w:rtl w:val="0"/>
          <w:lang w:val="en-US"/>
        </w:rPr>
        <w:t>It is hoped this presentation will equip GP</w:t>
      </w:r>
      <w:r>
        <w:rPr>
          <w:rFonts w:ascii="Arial" w:hAnsi="Arial" w:hint="default"/>
          <w:rtl w:val="0"/>
          <w:lang w:val="en-US"/>
        </w:rPr>
        <w:t>’</w:t>
      </w:r>
      <w:r>
        <w:rPr>
          <w:rFonts w:ascii="Arial" w:hAnsi="Arial"/>
          <w:rtl w:val="0"/>
          <w:lang w:val="en-US"/>
        </w:rPr>
        <w:t>s to be understand the basics of PrEP, seek further eduction should they wish to prescribe PrEP or access referral pathways to help patients access PrEP to prevent HIV infection.</w:t>
      </w:r>
    </w:p>
    <w:p>
      <w:pPr>
        <w:pStyle w:val="No Spacing"/>
        <w:rPr>
          <w:rFonts w:ascii="Arial" w:cs="Arial" w:hAnsi="Arial" w:eastAsia="Arial"/>
        </w:rPr>
      </w:pPr>
    </w:p>
    <w:p>
      <w:pPr>
        <w:pStyle w:val="No Spacing"/>
        <w:rPr>
          <w:rFonts w:ascii="Arial" w:cs="Arial" w:hAnsi="Arial" w:eastAsia="Arial"/>
        </w:rPr>
      </w:pPr>
    </w:p>
    <w:p>
      <w:pPr>
        <w:pStyle w:val="Body"/>
        <w:spacing w:after="0"/>
        <w:rPr>
          <w:rFonts w:ascii="Arial" w:cs="Arial" w:hAnsi="Arial" w:eastAsia="Arial"/>
          <w:b w:val="1"/>
          <w:bCs w:val="1"/>
        </w:rPr>
      </w:pPr>
      <w:r>
        <w:rPr>
          <w:rFonts w:ascii="Arial" w:hAnsi="Arial"/>
          <w:b w:val="1"/>
          <w:bCs w:val="1"/>
          <w:rtl w:val="0"/>
          <w:lang w:val="it-IT"/>
        </w:rPr>
        <w:t>Conclusion</w:t>
      </w:r>
    </w:p>
    <w:p>
      <w:pPr>
        <w:pStyle w:val="No Spacing"/>
        <w:rPr>
          <w:rFonts w:ascii="Arial" w:cs="Arial" w:hAnsi="Arial" w:eastAsia="Arial"/>
          <w:b w:val="1"/>
          <w:bCs w:val="1"/>
        </w:rPr>
      </w:pPr>
    </w:p>
    <w:p>
      <w:pPr>
        <w:pStyle w:val="No Spacing"/>
        <w:rPr>
          <w:rFonts w:ascii="Arial" w:cs="Arial" w:hAnsi="Arial" w:eastAsia="Arial"/>
          <w:b w:val="1"/>
          <w:bCs w:val="1"/>
        </w:rPr>
      </w:pPr>
      <w:r>
        <w:rPr>
          <w:rFonts w:ascii="Arial" w:hAnsi="Arial"/>
          <w:rtl w:val="0"/>
          <w:lang w:val="en-US"/>
        </w:rPr>
        <w:t>With PrEP being added to the PBS schedule demand on GP</w:t>
      </w:r>
      <w:r>
        <w:rPr>
          <w:rFonts w:ascii="Arial" w:hAnsi="Arial" w:hint="default"/>
          <w:rtl w:val="0"/>
          <w:lang w:val="en-US"/>
        </w:rPr>
        <w:t>’</w:t>
      </w:r>
      <w:r>
        <w:rPr>
          <w:rFonts w:ascii="Arial" w:hAnsi="Arial"/>
          <w:rtl w:val="0"/>
          <w:lang w:val="en-US"/>
        </w:rPr>
        <w:t>s for information about PrEP will increase. It is hoped this presentation may increase interest as well as education for doctors with an interest in HIV prevention at a community level.</w:t>
      </w:r>
    </w:p>
    <w:p>
      <w:pPr>
        <w:pStyle w:val="No Spacing"/>
        <w:rPr>
          <w:rFonts w:ascii="Arial" w:cs="Arial" w:hAnsi="Arial" w:eastAsia="Arial"/>
        </w:rPr>
      </w:pPr>
    </w:p>
    <w:p>
      <w:pPr>
        <w:pStyle w:val="No Spacing"/>
        <w:rPr>
          <w:rFonts w:ascii="Arial" w:cs="Arial" w:hAnsi="Arial" w:eastAsia="Arial"/>
        </w:rPr>
      </w:pPr>
    </w:p>
    <w:p>
      <w:pPr>
        <w:pStyle w:val="No Spacing"/>
        <w:rPr>
          <w:rFonts w:ascii="Arial" w:cs="Arial" w:hAnsi="Arial" w:eastAsia="Arial"/>
        </w:rPr>
      </w:pPr>
    </w:p>
    <w:p>
      <w:pPr>
        <w:pStyle w:val="Body"/>
        <w:spacing w:after="0"/>
        <w:rPr>
          <w:rFonts w:ascii="Arial" w:cs="Arial" w:hAnsi="Arial" w:eastAsia="Arial"/>
        </w:rPr>
      </w:pPr>
      <w:r>
        <w:rPr>
          <w:rFonts w:ascii="Arial" w:hAnsi="Arial"/>
          <w:b w:val="1"/>
          <w:bCs w:val="1"/>
          <w:rtl w:val="0"/>
          <w:lang w:val="fr-FR"/>
        </w:rPr>
        <w:t xml:space="preserve">References </w:t>
      </w:r>
      <w:r>
        <w:rPr>
          <w:rFonts w:ascii="Arial" w:hAnsi="Arial"/>
          <w:rtl w:val="0"/>
          <w:lang w:val="en-US"/>
        </w:rPr>
        <w:t>(If applicable)</w:t>
      </w:r>
    </w:p>
    <w:p>
      <w:pPr>
        <w:pStyle w:val="Body"/>
        <w:spacing w:after="0"/>
        <w:rPr>
          <w:rFonts w:ascii="Arial" w:cs="Arial" w:hAnsi="Arial" w:eastAsia="Arial"/>
        </w:rPr>
      </w:pPr>
      <w:r>
        <w:rPr>
          <w:rStyle w:val="Hyperlink.0"/>
        </w:rPr>
        <w:fldChar w:fldCharType="begin" w:fldLock="0"/>
      </w:r>
      <w:r>
        <w:rPr>
          <w:rStyle w:val="Hyperlink.0"/>
        </w:rPr>
        <w:instrText xml:space="preserve"> HYPERLINK "http://viruseradication.com/journal-details/Australasian_Society_for_HIV,_Viral_Hepatitis_and_Sexual_Health_Medicine_HIV_pre-exposure_prophylaxis:_clinical_guidelines/"</w:instrText>
      </w:r>
      <w:r>
        <w:rPr>
          <w:rStyle w:val="Hyperlink.0"/>
        </w:rPr>
        <w:fldChar w:fldCharType="separate" w:fldLock="0"/>
      </w:r>
      <w:r>
        <w:rPr>
          <w:rStyle w:val="Hyperlink.0"/>
          <w:rtl w:val="0"/>
          <w:lang w:val="en-US"/>
        </w:rPr>
        <w:t>http://viruseradication.com/journal-details/Australasian_Society_for_HIV,_Viral_Hepatitis_and_Sexual_Health_Medicine_HIV_pre-exposure_prophylaxis:_clinical_guidelines/</w:t>
      </w:r>
      <w:r>
        <w:rPr/>
        <w:fldChar w:fldCharType="end" w:fldLock="0"/>
      </w:r>
    </w:p>
    <w:p>
      <w:pPr>
        <w:pStyle w:val="Body"/>
        <w:spacing w:after="0"/>
        <w:rPr>
          <w:rFonts w:ascii="Arial" w:cs="Arial" w:hAnsi="Arial" w:eastAsia="Arial"/>
        </w:rPr>
      </w:pPr>
    </w:p>
    <w:p>
      <w:pPr>
        <w:pStyle w:val="Body"/>
        <w:spacing w:after="0"/>
        <w:rPr>
          <w:rFonts w:ascii="Arial" w:cs="Arial" w:hAnsi="Arial" w:eastAsia="Arial"/>
        </w:rPr>
      </w:pPr>
      <w:r>
        <w:rPr>
          <w:rStyle w:val="Hyperlink.0"/>
        </w:rPr>
        <w:fldChar w:fldCharType="begin" w:fldLock="0"/>
      </w:r>
      <w:r>
        <w:rPr>
          <w:rStyle w:val="Hyperlink.0"/>
        </w:rPr>
        <w:instrText xml:space="preserve"> HYPERLINK "https://www.alfredhealth.org.au/research/research-areas/infectious-diseases-research/prepx-study"</w:instrText>
      </w:r>
      <w:r>
        <w:rPr>
          <w:rStyle w:val="Hyperlink.0"/>
        </w:rPr>
        <w:fldChar w:fldCharType="separate" w:fldLock="0"/>
      </w:r>
      <w:r>
        <w:rPr>
          <w:rStyle w:val="Hyperlink.0"/>
          <w:rtl w:val="0"/>
          <w:lang w:val="en-US"/>
        </w:rPr>
        <w:t>https://www.alfredhealth.org.au/research/research-areas/infectious-diseases-research/prepx-study</w:t>
      </w:r>
      <w:r>
        <w:rPr/>
        <w:fldChar w:fldCharType="end" w:fldLock="0"/>
      </w:r>
    </w:p>
    <w:p>
      <w:pPr>
        <w:pStyle w:val="Body"/>
        <w:spacing w:after="0"/>
      </w:pPr>
      <w:r>
        <w:rPr>
          <w:rFonts w:ascii="Arial" w:cs="Arial" w:hAnsi="Arial" w:eastAsia="Arial"/>
        </w:rPr>
      </w:r>
    </w:p>
    <w:sectPr>
      <w:headerReference w:type="default" r:id="rId4"/>
      <w:footerReference w:type="default" r:id="rId5"/>
      <w:pgSz w:w="11900" w:h="16840" w:orient="portrait"/>
      <w:pgMar w:top="1276" w:right="1133" w:bottom="568"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Hyperlink.0">
    <w:name w:val="Hyperlink.0"/>
    <w:basedOn w:val="Hyperlink"/>
    <w:next w:val="Hyperlink.0"/>
    <w:rPr>
      <w:color w:val="0000ff"/>
      <w:u w:val="single" w:color="0000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