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A14" w14:textId="1AD96631" w:rsidR="00A85881" w:rsidRPr="00DE2A68" w:rsidRDefault="00E317F3" w:rsidP="00AF178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E2A68">
        <w:rPr>
          <w:rFonts w:ascii="Arial" w:hAnsi="Arial" w:cs="Arial"/>
          <w:b/>
          <w:sz w:val="20"/>
          <w:szCs w:val="20"/>
        </w:rPr>
        <w:t>Presentation title</w:t>
      </w:r>
    </w:p>
    <w:p w14:paraId="7943804A" w14:textId="2A23B9CE" w:rsidR="00D273AA" w:rsidRPr="00DE2A68" w:rsidRDefault="00204BEB" w:rsidP="00AF178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E2A68">
        <w:rPr>
          <w:rFonts w:ascii="Arial" w:hAnsi="Arial" w:cs="Arial"/>
          <w:sz w:val="20"/>
          <w:szCs w:val="20"/>
        </w:rPr>
        <w:t xml:space="preserve">Telehealth consultations in GP registrars’ practice: a cross-sectional study nested within </w:t>
      </w:r>
      <w:proofErr w:type="spellStart"/>
      <w:r w:rsidRPr="00DE2A68">
        <w:rPr>
          <w:rFonts w:ascii="Arial" w:hAnsi="Arial" w:cs="Arial"/>
          <w:sz w:val="20"/>
          <w:szCs w:val="20"/>
        </w:rPr>
        <w:t>ReCEnT</w:t>
      </w:r>
      <w:proofErr w:type="spellEnd"/>
    </w:p>
    <w:p w14:paraId="02B9E02C" w14:textId="5FA68DC3" w:rsidR="27686057" w:rsidRPr="00DE2A68" w:rsidRDefault="27686057" w:rsidP="00AF178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6C9F495" w14:textId="34FBA60E" w:rsidR="005F00CA" w:rsidRPr="00DE2A68" w:rsidRDefault="005F00CA" w:rsidP="00AF178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E2A68">
        <w:rPr>
          <w:rFonts w:ascii="Arial" w:hAnsi="Arial" w:cs="Arial"/>
          <w:b/>
          <w:bCs/>
          <w:sz w:val="20"/>
          <w:szCs w:val="20"/>
        </w:rPr>
        <w:t>Explain why your paper is relevant</w:t>
      </w:r>
      <w:r w:rsidR="00B76E82" w:rsidRPr="00DE2A68">
        <w:rPr>
          <w:rFonts w:ascii="Arial" w:hAnsi="Arial" w:cs="Arial"/>
          <w:b/>
          <w:bCs/>
          <w:sz w:val="20"/>
          <w:szCs w:val="20"/>
        </w:rPr>
        <w:t>, important</w:t>
      </w:r>
      <w:r w:rsidRPr="00DE2A68">
        <w:rPr>
          <w:rFonts w:ascii="Arial" w:hAnsi="Arial" w:cs="Arial"/>
          <w:b/>
          <w:bCs/>
          <w:sz w:val="20"/>
          <w:szCs w:val="20"/>
        </w:rPr>
        <w:t xml:space="preserve"> and of interest to GP22 participants</w:t>
      </w:r>
    </w:p>
    <w:p w14:paraId="7B2066C3" w14:textId="0E032D3B" w:rsidR="00DE12FE" w:rsidRPr="00DE2A68" w:rsidRDefault="00DE12FE" w:rsidP="00AF178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E2A68">
        <w:rPr>
          <w:rFonts w:ascii="Arial" w:hAnsi="Arial" w:cs="Arial"/>
          <w:sz w:val="20"/>
          <w:szCs w:val="20"/>
        </w:rPr>
        <w:t xml:space="preserve">In December 2021, telehealth </w:t>
      </w:r>
      <w:r w:rsidR="00A1122A">
        <w:rPr>
          <w:rFonts w:ascii="Arial" w:hAnsi="Arial" w:cs="Arial"/>
          <w:sz w:val="20"/>
          <w:szCs w:val="20"/>
        </w:rPr>
        <w:t>became</w:t>
      </w:r>
      <w:r w:rsidRPr="00DE2A68">
        <w:rPr>
          <w:rFonts w:ascii="Arial" w:hAnsi="Arial" w:cs="Arial"/>
          <w:sz w:val="20"/>
          <w:szCs w:val="20"/>
        </w:rPr>
        <w:t xml:space="preserve"> a permanent feature of Australian primary care</w:t>
      </w:r>
      <w:r w:rsidR="00A31507" w:rsidRPr="00DE2A68">
        <w:rPr>
          <w:rFonts w:ascii="Arial" w:hAnsi="Arial" w:cs="Arial"/>
          <w:sz w:val="20"/>
          <w:szCs w:val="20"/>
        </w:rPr>
        <w:t xml:space="preserve"> </w:t>
      </w:r>
      <w:r w:rsidR="00A31507" w:rsidRPr="00DE2A68">
        <w:rPr>
          <w:rFonts w:ascii="Arial" w:hAnsi="Arial" w:cs="Arial"/>
          <w:sz w:val="20"/>
          <w:szCs w:val="20"/>
        </w:rPr>
        <w:fldChar w:fldCharType="begin"/>
      </w:r>
      <w:r w:rsidR="00A31507" w:rsidRPr="00DE2A68">
        <w:rPr>
          <w:rFonts w:ascii="Arial" w:hAnsi="Arial" w:cs="Arial"/>
          <w:sz w:val="20"/>
          <w:szCs w:val="20"/>
        </w:rPr>
        <w:instrText xml:space="preserve"> ADDIN EN.CITE &lt;EndNote&gt;&lt;Cite&gt;&lt;Author&gt;The Hon Greg Hunt MP&lt;/Author&gt;&lt;Year&gt;2021&lt;/Year&gt;&lt;RecNum&gt;174&lt;/RecNum&gt;&lt;DisplayText&gt;(1)&lt;/DisplayText&gt;&lt;record&gt;&lt;rec-number&gt;174&lt;/rec-number&gt;&lt;foreign-keys&gt;&lt;key app="EN" db-id="svdp0rse82vw04efxzipdert5ztavr5005re" timestamp="1646102933" guid="6e899856-3c66-4d4d-8953-68c1cd542192"&gt;174&lt;/key&gt;&lt;/foreign-keys&gt;&lt;ref-type name="Web Page"&gt;12&lt;/ref-type&gt;&lt;contributors&gt;&lt;authors&gt;&lt;author&gt;The Hon Greg Hunt MP,&lt;/author&gt;&lt;/authors&gt;&lt;/contributors&gt;&lt;titles&gt;&lt;title&gt;Permanent telehealth to strengthen universal Medicare&lt;/title&gt;&lt;/titles&gt;&lt;dates&gt;&lt;year&gt;2021&lt;/year&gt;&lt;/dates&gt;&lt;pub-location&gt;Canberra&lt;/pub-location&gt;&lt;publisher&gt;Australian Government Department of Health&lt;/publisher&gt;&lt;work-type&gt;Press Release&lt;/work-type&gt;&lt;urls&gt;&lt;related-urls&gt;&lt;url&gt;https://www.health.gov.au/ministers/the-hon-greg-hunt-mp/media/permanent-telehealth-to-strengthen-universal-medicare&lt;/url&gt;&lt;/related-urls&gt;&lt;/urls&gt;&lt;custom1&gt;2021&lt;/custom1&gt;&lt;custom2&gt;Dec 15&lt;/custom2&gt;&lt;/record&gt;&lt;/Cite&gt;&lt;/EndNote&gt;</w:instrText>
      </w:r>
      <w:r w:rsidR="00A31507" w:rsidRPr="00DE2A68">
        <w:rPr>
          <w:rFonts w:ascii="Arial" w:hAnsi="Arial" w:cs="Arial"/>
          <w:sz w:val="20"/>
          <w:szCs w:val="20"/>
        </w:rPr>
        <w:fldChar w:fldCharType="separate"/>
      </w:r>
      <w:r w:rsidR="00A31507" w:rsidRPr="00DE2A68">
        <w:rPr>
          <w:rFonts w:ascii="Arial" w:hAnsi="Arial" w:cs="Arial"/>
          <w:noProof/>
          <w:sz w:val="20"/>
          <w:szCs w:val="20"/>
        </w:rPr>
        <w:t>(1)</w:t>
      </w:r>
      <w:r w:rsidR="00A31507" w:rsidRPr="00DE2A68">
        <w:rPr>
          <w:rFonts w:ascii="Arial" w:hAnsi="Arial" w:cs="Arial"/>
          <w:sz w:val="20"/>
          <w:szCs w:val="20"/>
        </w:rPr>
        <w:fldChar w:fldCharType="end"/>
      </w:r>
      <w:r w:rsidRPr="00DE2A68">
        <w:rPr>
          <w:rFonts w:ascii="Arial" w:hAnsi="Arial" w:cs="Arial"/>
          <w:sz w:val="20"/>
          <w:szCs w:val="20"/>
        </w:rPr>
        <w:t>. Our research is the first to address the associations of telehealth use</w:t>
      </w:r>
      <w:r w:rsidR="00DE2A68">
        <w:rPr>
          <w:rFonts w:ascii="Arial" w:hAnsi="Arial" w:cs="Arial"/>
          <w:sz w:val="20"/>
          <w:szCs w:val="20"/>
        </w:rPr>
        <w:t>, compared to face-to-face consultations,</w:t>
      </w:r>
      <w:r w:rsidRPr="00DE2A68">
        <w:rPr>
          <w:rFonts w:ascii="Arial" w:hAnsi="Arial" w:cs="Arial"/>
          <w:sz w:val="20"/>
          <w:szCs w:val="20"/>
        </w:rPr>
        <w:t xml:space="preserve"> amongst Australian GP trainees. Our findings have implications for </w:t>
      </w:r>
      <w:r w:rsidR="00A1122A">
        <w:rPr>
          <w:rFonts w:ascii="Arial" w:hAnsi="Arial" w:cs="Arial"/>
          <w:sz w:val="20"/>
          <w:szCs w:val="20"/>
        </w:rPr>
        <w:t>clinical practice</w:t>
      </w:r>
      <w:r w:rsidRPr="00DE2A68">
        <w:rPr>
          <w:rFonts w:ascii="Arial" w:hAnsi="Arial" w:cs="Arial"/>
          <w:sz w:val="20"/>
          <w:szCs w:val="20"/>
        </w:rPr>
        <w:t xml:space="preserve"> and </w:t>
      </w:r>
      <w:r w:rsidR="00A31507" w:rsidRPr="00DE2A68">
        <w:rPr>
          <w:rFonts w:ascii="Arial" w:hAnsi="Arial" w:cs="Arial"/>
          <w:sz w:val="20"/>
          <w:szCs w:val="20"/>
        </w:rPr>
        <w:t>GP</w:t>
      </w:r>
      <w:r w:rsidRPr="00DE2A68">
        <w:rPr>
          <w:rFonts w:ascii="Arial" w:hAnsi="Arial" w:cs="Arial"/>
          <w:sz w:val="20"/>
          <w:szCs w:val="20"/>
        </w:rPr>
        <w:t xml:space="preserve"> training. </w:t>
      </w:r>
    </w:p>
    <w:p w14:paraId="79DCAA7F" w14:textId="77777777" w:rsidR="005F00CA" w:rsidRPr="00DE2A68" w:rsidRDefault="005F00CA" w:rsidP="00AF178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A2BEDF7" w14:textId="351E4233" w:rsidR="005F00CA" w:rsidRPr="00DE2A68" w:rsidRDefault="005F00CA" w:rsidP="00AF178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E2A68">
        <w:rPr>
          <w:rFonts w:ascii="Arial" w:hAnsi="Arial" w:cs="Arial"/>
          <w:b/>
          <w:bCs/>
          <w:sz w:val="20"/>
          <w:szCs w:val="20"/>
        </w:rPr>
        <w:t xml:space="preserve">Take home message </w:t>
      </w:r>
    </w:p>
    <w:p w14:paraId="023E2EC7" w14:textId="364E2B45" w:rsidR="0024485F" w:rsidRPr="00DE2A68" w:rsidRDefault="00840D8B" w:rsidP="00AF178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Telehealth consultations accounted for 21.4% of GP registrar encounters</w:t>
      </w:r>
      <w:r w:rsidR="00231C6D">
        <w:rPr>
          <w:rFonts w:ascii="Arial" w:hAnsi="Arial" w:cs="Arial"/>
          <w:sz w:val="20"/>
          <w:szCs w:val="20"/>
        </w:rPr>
        <w:t xml:space="preserve"> across an 18-month period,</w:t>
      </w:r>
      <w:r>
        <w:rPr>
          <w:rFonts w:ascii="Arial" w:hAnsi="Arial" w:cs="Arial"/>
          <w:sz w:val="20"/>
          <w:szCs w:val="20"/>
        </w:rPr>
        <w:t xml:space="preserve"> </w:t>
      </w:r>
      <w:r w:rsidR="00191117">
        <w:rPr>
          <w:rFonts w:ascii="Arial" w:hAnsi="Arial" w:cs="Arial"/>
          <w:sz w:val="20"/>
          <w:szCs w:val="20"/>
        </w:rPr>
        <w:t>from 2020-2021.</w:t>
      </w:r>
    </w:p>
    <w:p w14:paraId="0F99278F" w14:textId="11934481" w:rsidR="00E3452D" w:rsidRDefault="00195CAB" w:rsidP="00AF178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E2A68">
        <w:rPr>
          <w:rFonts w:ascii="Arial" w:hAnsi="Arial" w:cs="Arial"/>
          <w:sz w:val="20"/>
          <w:szCs w:val="20"/>
        </w:rPr>
        <w:t xml:space="preserve">The majority of telehealth consultations were performed </w:t>
      </w:r>
      <w:r w:rsidR="0024485F" w:rsidRPr="00DE2A68">
        <w:rPr>
          <w:rFonts w:ascii="Arial" w:hAnsi="Arial" w:cs="Arial"/>
          <w:sz w:val="20"/>
          <w:szCs w:val="20"/>
        </w:rPr>
        <w:t xml:space="preserve">via telephone, </w:t>
      </w:r>
      <w:r w:rsidR="006C4819">
        <w:rPr>
          <w:rFonts w:ascii="Arial" w:hAnsi="Arial" w:cs="Arial"/>
          <w:sz w:val="20"/>
          <w:szCs w:val="20"/>
        </w:rPr>
        <w:t>which limits the ability to perform remote physical examination.</w:t>
      </w:r>
    </w:p>
    <w:p w14:paraId="56016228" w14:textId="4C90131F" w:rsidR="00A31507" w:rsidRPr="00DE2A68" w:rsidRDefault="0024485F" w:rsidP="00AF178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DE2A68">
        <w:rPr>
          <w:rFonts w:ascii="Arial" w:hAnsi="Arial" w:cs="Arial"/>
          <w:sz w:val="20"/>
          <w:szCs w:val="20"/>
        </w:rPr>
        <w:t>Telehealth was less likely to be used for vulnerable population groups, which has implications for health equit</w:t>
      </w:r>
      <w:r w:rsidR="00840D8B">
        <w:rPr>
          <w:rFonts w:ascii="Arial" w:hAnsi="Arial" w:cs="Arial"/>
          <w:sz w:val="20"/>
          <w:szCs w:val="20"/>
        </w:rPr>
        <w:t>y and clinical practice.</w:t>
      </w:r>
    </w:p>
    <w:p w14:paraId="217545D1" w14:textId="77777777" w:rsidR="006F007C" w:rsidRPr="00DE2A68" w:rsidRDefault="006F007C" w:rsidP="00AF178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E644CD5" w14:textId="6B602CB0" w:rsidR="00A85881" w:rsidRPr="00DE2A68" w:rsidRDefault="00E317F3" w:rsidP="00AF178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E2A68">
        <w:rPr>
          <w:rFonts w:ascii="Arial" w:hAnsi="Arial" w:cs="Arial"/>
          <w:b/>
          <w:sz w:val="20"/>
          <w:szCs w:val="20"/>
        </w:rPr>
        <w:t>Background</w:t>
      </w:r>
    </w:p>
    <w:p w14:paraId="67F3FD62" w14:textId="7C51184F" w:rsidR="00D273AA" w:rsidRPr="00DE2A68" w:rsidRDefault="00204BEB" w:rsidP="00AF178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E2A68">
        <w:rPr>
          <w:rFonts w:ascii="Arial" w:hAnsi="Arial" w:cs="Arial"/>
          <w:sz w:val="20"/>
          <w:szCs w:val="20"/>
        </w:rPr>
        <w:t>In March 2020, in response to COVID-19,</w:t>
      </w:r>
      <w:r w:rsidR="00A31507" w:rsidRPr="00DE2A68">
        <w:rPr>
          <w:rFonts w:ascii="Arial" w:hAnsi="Arial" w:cs="Arial"/>
          <w:sz w:val="20"/>
          <w:szCs w:val="20"/>
        </w:rPr>
        <w:t xml:space="preserve"> </w:t>
      </w:r>
      <w:r w:rsidRPr="00DE2A68">
        <w:rPr>
          <w:rFonts w:ascii="Arial" w:hAnsi="Arial" w:cs="Arial"/>
          <w:sz w:val="20"/>
          <w:szCs w:val="20"/>
        </w:rPr>
        <w:t>Medicare item numbers were introduced for telehealth consultations in Australia</w:t>
      </w:r>
      <w:r w:rsidR="00A31507" w:rsidRPr="00DE2A68">
        <w:rPr>
          <w:rFonts w:ascii="Arial" w:hAnsi="Arial" w:cs="Arial"/>
          <w:sz w:val="20"/>
          <w:szCs w:val="20"/>
        </w:rPr>
        <w:t xml:space="preserve">. </w:t>
      </w:r>
      <w:r w:rsidR="00DE12FE" w:rsidRPr="00DE2A68">
        <w:rPr>
          <w:rFonts w:ascii="Arial" w:hAnsi="Arial" w:cs="Arial"/>
          <w:sz w:val="20"/>
          <w:szCs w:val="20"/>
        </w:rPr>
        <w:t xml:space="preserve">There is no available literature on Australian GP registrars’ telehealth use. </w:t>
      </w:r>
    </w:p>
    <w:p w14:paraId="586580C3" w14:textId="4EAB9BCB" w:rsidR="00B76E82" w:rsidRPr="00DE2A68" w:rsidRDefault="00B76E82" w:rsidP="00AF178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884AD33" w14:textId="126CADE2" w:rsidR="00B76E82" w:rsidRPr="00DE2A68" w:rsidRDefault="00B76E82" w:rsidP="00AF178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E2A68">
        <w:rPr>
          <w:rFonts w:ascii="Arial" w:hAnsi="Arial" w:cs="Arial"/>
          <w:b/>
          <w:bCs/>
          <w:sz w:val="20"/>
          <w:szCs w:val="20"/>
        </w:rPr>
        <w:t>Aim / Hypothesis</w:t>
      </w:r>
    </w:p>
    <w:p w14:paraId="1A55F163" w14:textId="1E9FC04A" w:rsidR="00B76E82" w:rsidRPr="00DE2A68" w:rsidRDefault="00204BEB" w:rsidP="00AF178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E2A68">
        <w:rPr>
          <w:rFonts w:ascii="Arial" w:hAnsi="Arial" w:cs="Arial"/>
          <w:sz w:val="20"/>
          <w:szCs w:val="20"/>
        </w:rPr>
        <w:t>To determine the prevalence and associations of</w:t>
      </w:r>
      <w:r w:rsidR="00A31507" w:rsidRPr="00DE2A68">
        <w:rPr>
          <w:rFonts w:ascii="Arial" w:hAnsi="Arial" w:cs="Arial"/>
          <w:sz w:val="20"/>
          <w:szCs w:val="20"/>
        </w:rPr>
        <w:t xml:space="preserve"> Australian GP </w:t>
      </w:r>
      <w:r w:rsidR="00DE2A68" w:rsidRPr="00DE2A68">
        <w:rPr>
          <w:rFonts w:ascii="Arial" w:hAnsi="Arial" w:cs="Arial"/>
          <w:sz w:val="20"/>
          <w:szCs w:val="20"/>
        </w:rPr>
        <w:t>registrars’</w:t>
      </w:r>
      <w:r w:rsidR="00A31507" w:rsidRPr="00DE2A68">
        <w:rPr>
          <w:rFonts w:ascii="Arial" w:hAnsi="Arial" w:cs="Arial"/>
          <w:sz w:val="20"/>
          <w:szCs w:val="20"/>
        </w:rPr>
        <w:t xml:space="preserve"> telehealth </w:t>
      </w:r>
      <w:r w:rsidR="00B9140B">
        <w:rPr>
          <w:rFonts w:ascii="Arial" w:hAnsi="Arial" w:cs="Arial"/>
          <w:sz w:val="20"/>
          <w:szCs w:val="20"/>
        </w:rPr>
        <w:t>consultations</w:t>
      </w:r>
      <w:r w:rsidR="00A31507" w:rsidRPr="00DE2A68">
        <w:rPr>
          <w:rFonts w:ascii="Arial" w:hAnsi="Arial" w:cs="Arial"/>
          <w:sz w:val="20"/>
          <w:szCs w:val="20"/>
        </w:rPr>
        <w:t xml:space="preserve"> compared to face-to-face.</w:t>
      </w:r>
    </w:p>
    <w:p w14:paraId="03F599AF" w14:textId="77777777" w:rsidR="00D273AA" w:rsidRPr="00DE2A68" w:rsidRDefault="00D273AA" w:rsidP="00AF178D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367EF78F" w14:textId="38775839" w:rsidR="00A85881" w:rsidRPr="00DE2A68" w:rsidRDefault="00A85881" w:rsidP="00AF178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E2A68">
        <w:rPr>
          <w:rFonts w:ascii="Arial" w:hAnsi="Arial" w:cs="Arial"/>
          <w:b/>
          <w:sz w:val="20"/>
          <w:szCs w:val="20"/>
        </w:rPr>
        <w:t>Method</w:t>
      </w:r>
    </w:p>
    <w:p w14:paraId="55F6E9B4" w14:textId="5374FF35" w:rsidR="00D273AA" w:rsidRPr="00DE2A68" w:rsidRDefault="00E66A3D" w:rsidP="00AF178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E12FE" w:rsidRPr="00DE2A68">
        <w:rPr>
          <w:rFonts w:ascii="Arial" w:hAnsi="Arial" w:cs="Arial"/>
          <w:sz w:val="20"/>
          <w:szCs w:val="20"/>
        </w:rPr>
        <w:t>ross-sectional analysis of data from the Registrar Clinical Encounters in Training (</w:t>
      </w:r>
      <w:proofErr w:type="spellStart"/>
      <w:r w:rsidR="00DE12FE" w:rsidRPr="00DE2A68">
        <w:rPr>
          <w:rFonts w:ascii="Arial" w:hAnsi="Arial" w:cs="Arial"/>
          <w:sz w:val="20"/>
          <w:szCs w:val="20"/>
        </w:rPr>
        <w:t>ReCEnT</w:t>
      </w:r>
      <w:proofErr w:type="spellEnd"/>
      <w:r w:rsidR="00DE12FE" w:rsidRPr="00DE2A68">
        <w:rPr>
          <w:rFonts w:ascii="Arial" w:hAnsi="Arial" w:cs="Arial"/>
          <w:sz w:val="20"/>
          <w:szCs w:val="20"/>
        </w:rPr>
        <w:t>) study. Data was collected</w:t>
      </w:r>
      <w:r w:rsidR="00A31507" w:rsidRPr="00DE2A68">
        <w:rPr>
          <w:rFonts w:ascii="Arial" w:hAnsi="Arial" w:cs="Arial"/>
          <w:sz w:val="20"/>
          <w:szCs w:val="20"/>
        </w:rPr>
        <w:t xml:space="preserve"> over</w:t>
      </w:r>
      <w:r w:rsidR="00DE12FE" w:rsidRPr="00DE2A68">
        <w:rPr>
          <w:rFonts w:ascii="Arial" w:hAnsi="Arial" w:cs="Arial"/>
          <w:sz w:val="20"/>
          <w:szCs w:val="20"/>
        </w:rPr>
        <w:t xml:space="preserve"> </w:t>
      </w:r>
      <w:r w:rsidR="00C679E8" w:rsidRPr="00DE2A68">
        <w:rPr>
          <w:rFonts w:ascii="Arial" w:hAnsi="Arial" w:cs="Arial"/>
          <w:sz w:val="20"/>
          <w:szCs w:val="20"/>
        </w:rPr>
        <w:t>three</w:t>
      </w:r>
      <w:r w:rsidR="00DE12FE" w:rsidRPr="00DE2A68">
        <w:rPr>
          <w:rFonts w:ascii="Arial" w:hAnsi="Arial" w:cs="Arial"/>
          <w:sz w:val="20"/>
          <w:szCs w:val="20"/>
        </w:rPr>
        <w:t xml:space="preserve"> 6-month terms</w:t>
      </w:r>
      <w:r w:rsidR="00191117">
        <w:rPr>
          <w:rFonts w:ascii="Arial" w:hAnsi="Arial" w:cs="Arial"/>
          <w:sz w:val="20"/>
          <w:szCs w:val="20"/>
        </w:rPr>
        <w:t xml:space="preserve"> in 2020-2021. </w:t>
      </w:r>
      <w:r w:rsidR="00DE12FE" w:rsidRPr="00DE2A68">
        <w:rPr>
          <w:rFonts w:ascii="Arial" w:hAnsi="Arial" w:cs="Arial"/>
          <w:sz w:val="20"/>
          <w:szCs w:val="20"/>
        </w:rPr>
        <w:t xml:space="preserve">Data was recorded by GP registrars from three regional training </w:t>
      </w:r>
      <w:r w:rsidR="00A31507" w:rsidRPr="00DE2A68">
        <w:rPr>
          <w:rFonts w:ascii="Arial" w:hAnsi="Arial" w:cs="Arial"/>
          <w:sz w:val="20"/>
          <w:szCs w:val="20"/>
        </w:rPr>
        <w:t>organisations</w:t>
      </w:r>
      <w:r w:rsidR="00CC3502">
        <w:rPr>
          <w:rFonts w:ascii="Arial" w:hAnsi="Arial" w:cs="Arial"/>
          <w:sz w:val="20"/>
          <w:szCs w:val="20"/>
        </w:rPr>
        <w:t xml:space="preserve"> delivering training in </w:t>
      </w:r>
      <w:r w:rsidR="00DE12FE" w:rsidRPr="00DE2A68">
        <w:rPr>
          <w:rFonts w:ascii="Arial" w:hAnsi="Arial" w:cs="Arial"/>
          <w:sz w:val="20"/>
          <w:szCs w:val="20"/>
        </w:rPr>
        <w:t xml:space="preserve">NSW, ACT, </w:t>
      </w:r>
      <w:r w:rsidRPr="00DE2A68">
        <w:rPr>
          <w:rFonts w:ascii="Arial" w:hAnsi="Arial" w:cs="Arial"/>
          <w:sz w:val="20"/>
          <w:szCs w:val="20"/>
        </w:rPr>
        <w:t>Victoria,</w:t>
      </w:r>
      <w:r w:rsidR="00DE12FE" w:rsidRPr="00DE2A68">
        <w:rPr>
          <w:rFonts w:ascii="Arial" w:hAnsi="Arial" w:cs="Arial"/>
          <w:sz w:val="20"/>
          <w:szCs w:val="20"/>
        </w:rPr>
        <w:t xml:space="preserve"> and Tasmania. </w:t>
      </w:r>
    </w:p>
    <w:p w14:paraId="7FC7CF40" w14:textId="1825C73D" w:rsidR="005F00CA" w:rsidRPr="00DE2A68" w:rsidRDefault="005F00CA" w:rsidP="00AF178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C593A3C" w14:textId="3C0C96DB" w:rsidR="005F00CA" w:rsidRPr="00DE2A68" w:rsidRDefault="005F00CA" w:rsidP="00AF178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E2A68">
        <w:rPr>
          <w:rFonts w:ascii="Arial" w:hAnsi="Arial" w:cs="Arial"/>
          <w:b/>
          <w:bCs/>
          <w:sz w:val="20"/>
          <w:szCs w:val="20"/>
        </w:rPr>
        <w:t>Results</w:t>
      </w:r>
    </w:p>
    <w:p w14:paraId="13D244E2" w14:textId="4CE51629" w:rsidR="00C679E8" w:rsidRPr="00DE2A68" w:rsidRDefault="009A3B77" w:rsidP="00AF178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1,168</w:t>
      </w:r>
      <w:r w:rsidR="00C679E8" w:rsidRPr="00DE2A68">
        <w:rPr>
          <w:rFonts w:ascii="Arial" w:hAnsi="Arial" w:cs="Arial"/>
          <w:sz w:val="20"/>
          <w:szCs w:val="20"/>
        </w:rPr>
        <w:t xml:space="preserve"> GP registrars recorded 102,</w:t>
      </w:r>
      <w:r>
        <w:rPr>
          <w:rFonts w:ascii="Arial" w:hAnsi="Arial" w:cs="Arial"/>
          <w:sz w:val="20"/>
          <w:szCs w:val="20"/>
        </w:rPr>
        <w:t>286</w:t>
      </w:r>
      <w:r w:rsidR="00C679E8" w:rsidRPr="00DE2A68">
        <w:rPr>
          <w:rFonts w:ascii="Arial" w:hAnsi="Arial" w:cs="Arial"/>
          <w:sz w:val="20"/>
          <w:szCs w:val="20"/>
        </w:rPr>
        <w:t xml:space="preserve"> clinical encounters</w:t>
      </w:r>
      <w:r w:rsidR="00C14010" w:rsidRPr="00DE2A68">
        <w:rPr>
          <w:rFonts w:ascii="Arial" w:hAnsi="Arial" w:cs="Arial"/>
          <w:sz w:val="20"/>
          <w:szCs w:val="20"/>
        </w:rPr>
        <w:t xml:space="preserve">, with </w:t>
      </w:r>
      <w:r w:rsidR="00C679E8" w:rsidRPr="00DE2A68">
        <w:rPr>
          <w:rFonts w:ascii="Arial" w:hAnsi="Arial" w:cs="Arial"/>
          <w:sz w:val="20"/>
          <w:szCs w:val="20"/>
        </w:rPr>
        <w:t xml:space="preserve">21.4% (95% CI: 21.1%-21.6%) </w:t>
      </w:r>
      <w:r w:rsidR="00C14010" w:rsidRPr="00DE2A68">
        <w:rPr>
          <w:rFonts w:ascii="Arial" w:hAnsi="Arial" w:cs="Arial"/>
          <w:sz w:val="20"/>
          <w:szCs w:val="20"/>
        </w:rPr>
        <w:t>performed via</w:t>
      </w:r>
      <w:r w:rsidR="00C679E8" w:rsidRPr="00DE2A68">
        <w:rPr>
          <w:rFonts w:ascii="Arial" w:hAnsi="Arial" w:cs="Arial"/>
          <w:sz w:val="20"/>
          <w:szCs w:val="20"/>
        </w:rPr>
        <w:t xml:space="preserve"> telehealth</w:t>
      </w:r>
      <w:r w:rsidR="00C14010" w:rsidRPr="00DE2A68">
        <w:rPr>
          <w:rFonts w:ascii="Arial" w:hAnsi="Arial" w:cs="Arial"/>
          <w:sz w:val="20"/>
          <w:szCs w:val="20"/>
        </w:rPr>
        <w:t>. Of these</w:t>
      </w:r>
      <w:r w:rsidR="0024485F" w:rsidRPr="00DE2A68">
        <w:rPr>
          <w:rFonts w:ascii="Arial" w:hAnsi="Arial" w:cs="Arial"/>
          <w:sz w:val="20"/>
          <w:szCs w:val="20"/>
        </w:rPr>
        <w:t xml:space="preserve">, </w:t>
      </w:r>
      <w:r w:rsidR="00C679E8" w:rsidRPr="00DE2A68">
        <w:rPr>
          <w:rFonts w:ascii="Arial" w:hAnsi="Arial" w:cs="Arial"/>
          <w:sz w:val="20"/>
          <w:szCs w:val="20"/>
        </w:rPr>
        <w:t>96.6%</w:t>
      </w:r>
      <w:r w:rsidR="00C14010" w:rsidRPr="00DE2A68">
        <w:rPr>
          <w:rFonts w:ascii="Arial" w:hAnsi="Arial" w:cs="Arial"/>
          <w:sz w:val="20"/>
          <w:szCs w:val="20"/>
        </w:rPr>
        <w:t xml:space="preserve"> were</w:t>
      </w:r>
      <w:r w:rsidR="00C679E8" w:rsidRPr="00DE2A68">
        <w:rPr>
          <w:rFonts w:ascii="Arial" w:hAnsi="Arial" w:cs="Arial"/>
          <w:sz w:val="20"/>
          <w:szCs w:val="20"/>
        </w:rPr>
        <w:t xml:space="preserve"> telephone (95% CI: 96.3%-96.8%) </w:t>
      </w:r>
      <w:r w:rsidR="00C14010" w:rsidRPr="00DE2A68">
        <w:rPr>
          <w:rFonts w:ascii="Arial" w:hAnsi="Arial" w:cs="Arial"/>
          <w:sz w:val="20"/>
          <w:szCs w:val="20"/>
        </w:rPr>
        <w:t>and</w:t>
      </w:r>
      <w:r w:rsidR="00C679E8" w:rsidRPr="00DE2A68">
        <w:rPr>
          <w:rFonts w:ascii="Arial" w:hAnsi="Arial" w:cs="Arial"/>
          <w:sz w:val="20"/>
          <w:szCs w:val="20"/>
        </w:rPr>
        <w:t xml:space="preserve"> 3.4% videoconference (95% CI: 3.2%-3.7%). </w:t>
      </w:r>
      <w:r w:rsidR="007540A5">
        <w:rPr>
          <w:rFonts w:ascii="Arial" w:hAnsi="Arial" w:cs="Arial"/>
          <w:sz w:val="20"/>
          <w:szCs w:val="20"/>
        </w:rPr>
        <w:t>Among other significant associations, t</w:t>
      </w:r>
      <w:r w:rsidR="00A31507" w:rsidRPr="00DE2A68">
        <w:rPr>
          <w:rFonts w:ascii="Arial" w:hAnsi="Arial" w:cs="Arial"/>
          <w:sz w:val="20"/>
          <w:szCs w:val="20"/>
        </w:rPr>
        <w:t>elehealth was less likely to be used for patients aged</w:t>
      </w:r>
      <w:r w:rsidR="00231C6D">
        <w:rPr>
          <w:rFonts w:ascii="Arial" w:hAnsi="Arial" w:cs="Arial"/>
          <w:sz w:val="20"/>
          <w:szCs w:val="20"/>
        </w:rPr>
        <w:t xml:space="preserve"> </w:t>
      </w:r>
      <w:r w:rsidR="00231C6D" w:rsidRPr="00DE2A68">
        <w:rPr>
          <w:rFonts w:ascii="Arial" w:hAnsi="Arial" w:cs="Arial"/>
          <w:sz w:val="20"/>
          <w:szCs w:val="20"/>
        </w:rPr>
        <w:t>≥65 years</w:t>
      </w:r>
      <w:r w:rsidR="00231C6D">
        <w:rPr>
          <w:rFonts w:ascii="Arial" w:hAnsi="Arial" w:cs="Arial"/>
          <w:sz w:val="20"/>
          <w:szCs w:val="20"/>
        </w:rPr>
        <w:t xml:space="preserve"> </w:t>
      </w:r>
      <w:r w:rsidR="00A31507" w:rsidRPr="00DE2A68">
        <w:rPr>
          <w:rFonts w:ascii="Arial" w:hAnsi="Arial" w:cs="Arial"/>
          <w:sz w:val="20"/>
          <w:szCs w:val="20"/>
        </w:rPr>
        <w:t>(</w:t>
      </w:r>
      <w:r w:rsidR="00231C6D">
        <w:rPr>
          <w:rFonts w:ascii="Arial" w:hAnsi="Arial" w:cs="Arial"/>
          <w:sz w:val="20"/>
          <w:szCs w:val="20"/>
        </w:rPr>
        <w:t xml:space="preserve">for 65-74 years </w:t>
      </w:r>
      <w:r w:rsidR="00A31507" w:rsidRPr="00DE2A68">
        <w:rPr>
          <w:rFonts w:ascii="Arial" w:hAnsi="Arial" w:cs="Arial"/>
          <w:sz w:val="20"/>
          <w:szCs w:val="20"/>
        </w:rPr>
        <w:t>OR 0.83, 95% CI: 0.7</w:t>
      </w:r>
      <w:r>
        <w:rPr>
          <w:rFonts w:ascii="Arial" w:hAnsi="Arial" w:cs="Arial"/>
          <w:sz w:val="20"/>
          <w:szCs w:val="20"/>
        </w:rPr>
        <w:t>6</w:t>
      </w:r>
      <w:r w:rsidR="00A31507" w:rsidRPr="00DE2A68">
        <w:rPr>
          <w:rFonts w:ascii="Arial" w:hAnsi="Arial" w:cs="Arial"/>
          <w:sz w:val="20"/>
          <w:szCs w:val="20"/>
        </w:rPr>
        <w:t>-0.9</w:t>
      </w:r>
      <w:r>
        <w:rPr>
          <w:rFonts w:ascii="Arial" w:hAnsi="Arial" w:cs="Arial"/>
          <w:sz w:val="20"/>
          <w:szCs w:val="20"/>
        </w:rPr>
        <w:t>1</w:t>
      </w:r>
      <w:r w:rsidR="00195CAB" w:rsidRPr="00DE2A68">
        <w:rPr>
          <w:rFonts w:ascii="Arial" w:hAnsi="Arial" w:cs="Arial"/>
          <w:sz w:val="20"/>
          <w:szCs w:val="20"/>
        </w:rPr>
        <w:t>, p&lt;0.001</w:t>
      </w:r>
      <w:r w:rsidR="00231C6D">
        <w:rPr>
          <w:rFonts w:ascii="Arial" w:hAnsi="Arial" w:cs="Arial"/>
          <w:sz w:val="20"/>
          <w:szCs w:val="20"/>
        </w:rPr>
        <w:t xml:space="preserve">, and for 75+ years </w:t>
      </w:r>
      <w:r w:rsidR="00A31507" w:rsidRPr="00DE2A68">
        <w:rPr>
          <w:rFonts w:ascii="Arial" w:hAnsi="Arial" w:cs="Arial"/>
          <w:sz w:val="20"/>
          <w:szCs w:val="20"/>
        </w:rPr>
        <w:t>OR 0.87, 95% CI: 0.79-0.96</w:t>
      </w:r>
      <w:r w:rsidR="00195CAB" w:rsidRPr="00DE2A68">
        <w:rPr>
          <w:rFonts w:ascii="Arial" w:hAnsi="Arial" w:cs="Arial"/>
          <w:sz w:val="20"/>
          <w:szCs w:val="20"/>
        </w:rPr>
        <w:t>, p=0.00</w:t>
      </w:r>
      <w:r>
        <w:rPr>
          <w:rFonts w:ascii="Arial" w:hAnsi="Arial" w:cs="Arial"/>
          <w:sz w:val="20"/>
          <w:szCs w:val="20"/>
        </w:rPr>
        <w:t>5</w:t>
      </w:r>
      <w:r w:rsidR="00A31507" w:rsidRPr="00DE2A68">
        <w:rPr>
          <w:rFonts w:ascii="Arial" w:hAnsi="Arial" w:cs="Arial"/>
          <w:sz w:val="20"/>
          <w:szCs w:val="20"/>
        </w:rPr>
        <w:t xml:space="preserve">, </w:t>
      </w:r>
      <w:r w:rsidR="0024485F" w:rsidRPr="00DE2A68">
        <w:rPr>
          <w:rFonts w:ascii="Arial" w:hAnsi="Arial" w:cs="Arial"/>
          <w:sz w:val="20"/>
          <w:szCs w:val="20"/>
        </w:rPr>
        <w:t>both</w:t>
      </w:r>
      <w:r w:rsidR="00A31507" w:rsidRPr="00DE2A68">
        <w:rPr>
          <w:rFonts w:ascii="Arial" w:hAnsi="Arial" w:cs="Arial"/>
          <w:sz w:val="20"/>
          <w:szCs w:val="20"/>
        </w:rPr>
        <w:t xml:space="preserve"> compared to patients aged 15-34 years</w:t>
      </w:r>
      <w:r w:rsidR="005335A9">
        <w:rPr>
          <w:rFonts w:ascii="Arial" w:hAnsi="Arial" w:cs="Arial"/>
          <w:sz w:val="20"/>
          <w:szCs w:val="20"/>
        </w:rPr>
        <w:t>)</w:t>
      </w:r>
      <w:r w:rsidR="00A31507" w:rsidRPr="00DE2A68">
        <w:rPr>
          <w:rFonts w:ascii="Arial" w:hAnsi="Arial" w:cs="Arial"/>
          <w:sz w:val="20"/>
          <w:szCs w:val="20"/>
        </w:rPr>
        <w:t>. Telehealth was less likely to be used for culturally and linguistically diverse (CALD) patients</w:t>
      </w:r>
      <w:r w:rsidR="00C679E8" w:rsidRPr="00DE2A68">
        <w:rPr>
          <w:rFonts w:ascii="Arial" w:hAnsi="Arial" w:cs="Arial"/>
          <w:sz w:val="20"/>
          <w:szCs w:val="20"/>
        </w:rPr>
        <w:t xml:space="preserve"> (OR 0.81, 95% CI: 0.73-0.90</w:t>
      </w:r>
      <w:r w:rsidR="00195CAB" w:rsidRPr="00DE2A68">
        <w:rPr>
          <w:rFonts w:ascii="Arial" w:hAnsi="Arial" w:cs="Arial"/>
          <w:sz w:val="20"/>
          <w:szCs w:val="20"/>
        </w:rPr>
        <w:t>, p&lt;0.001</w:t>
      </w:r>
      <w:r w:rsidR="00C679E8" w:rsidRPr="00DE2A68">
        <w:rPr>
          <w:rFonts w:ascii="Arial" w:hAnsi="Arial" w:cs="Arial"/>
          <w:sz w:val="20"/>
          <w:szCs w:val="20"/>
        </w:rPr>
        <w:t>).</w:t>
      </w:r>
      <w:r w:rsidR="00E10A98" w:rsidRPr="00DE2A68">
        <w:rPr>
          <w:rFonts w:ascii="Arial" w:hAnsi="Arial" w:cs="Arial"/>
          <w:sz w:val="20"/>
          <w:szCs w:val="20"/>
        </w:rPr>
        <w:t xml:space="preserve"> </w:t>
      </w:r>
    </w:p>
    <w:p w14:paraId="56CB1CA6" w14:textId="77777777" w:rsidR="00DE12FE" w:rsidRPr="00DE2A68" w:rsidRDefault="00DE12FE" w:rsidP="00AF178D">
      <w:pPr>
        <w:spacing w:after="0" w:line="276" w:lineRule="auto"/>
        <w:rPr>
          <w:rFonts w:ascii="Arial" w:hAnsi="Arial" w:cs="Arial"/>
          <w:bCs/>
          <w:sz w:val="20"/>
          <w:szCs w:val="20"/>
        </w:rPr>
      </w:pPr>
    </w:p>
    <w:p w14:paraId="04907DC2" w14:textId="35ABBB63" w:rsidR="003D6105" w:rsidRPr="00DE2A68" w:rsidRDefault="003D6105" w:rsidP="00AF178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E2A68">
        <w:rPr>
          <w:rFonts w:ascii="Arial" w:hAnsi="Arial" w:cs="Arial"/>
          <w:b/>
          <w:sz w:val="20"/>
          <w:szCs w:val="20"/>
        </w:rPr>
        <w:t>Discussion</w:t>
      </w:r>
    </w:p>
    <w:p w14:paraId="0DB92B21" w14:textId="00DDFDBE" w:rsidR="00D70CDA" w:rsidRPr="00DE2A68" w:rsidRDefault="00D70CDA" w:rsidP="00AF178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E2A68">
        <w:rPr>
          <w:rFonts w:ascii="Arial" w:hAnsi="Arial" w:cs="Arial"/>
          <w:sz w:val="20"/>
          <w:szCs w:val="20"/>
        </w:rPr>
        <w:t xml:space="preserve">GP registrars had </w:t>
      </w:r>
      <w:r w:rsidR="00195CAB" w:rsidRPr="00DE2A68">
        <w:rPr>
          <w:rFonts w:ascii="Arial" w:hAnsi="Arial" w:cs="Arial"/>
          <w:sz w:val="20"/>
          <w:szCs w:val="20"/>
        </w:rPr>
        <w:t>lower telehealth uptake</w:t>
      </w:r>
      <w:r w:rsidRPr="00DE2A68">
        <w:rPr>
          <w:rFonts w:ascii="Arial" w:hAnsi="Arial" w:cs="Arial"/>
          <w:sz w:val="20"/>
          <w:szCs w:val="20"/>
        </w:rPr>
        <w:t xml:space="preserve"> compared to nationwide GP</w:t>
      </w:r>
      <w:r w:rsidR="00195CAB" w:rsidRPr="00DE2A68">
        <w:rPr>
          <w:rFonts w:ascii="Arial" w:hAnsi="Arial" w:cs="Arial"/>
          <w:sz w:val="20"/>
          <w:szCs w:val="20"/>
        </w:rPr>
        <w:t xml:space="preserve">s </w:t>
      </w:r>
      <w:r w:rsidRPr="00DE2A68">
        <w:rPr>
          <w:rFonts w:ascii="Arial" w:hAnsi="Arial" w:cs="Arial"/>
          <w:sz w:val="20"/>
          <w:szCs w:val="20"/>
        </w:rPr>
        <w:t xml:space="preserve">(37% telehealth for nationwide GP attendances from March 2020 </w:t>
      </w:r>
      <w:r w:rsidR="0090081C">
        <w:rPr>
          <w:rFonts w:ascii="Arial" w:hAnsi="Arial" w:cs="Arial"/>
          <w:sz w:val="20"/>
          <w:szCs w:val="20"/>
        </w:rPr>
        <w:t>-</w:t>
      </w:r>
      <w:r w:rsidRPr="00DE2A68">
        <w:rPr>
          <w:rFonts w:ascii="Arial" w:hAnsi="Arial" w:cs="Arial"/>
          <w:sz w:val="20"/>
          <w:szCs w:val="20"/>
        </w:rPr>
        <w:t xml:space="preserve"> July 2021) </w:t>
      </w:r>
      <w:r w:rsidRPr="00DE2A68">
        <w:rPr>
          <w:rFonts w:ascii="Arial" w:hAnsi="Arial" w:cs="Arial"/>
          <w:sz w:val="20"/>
          <w:szCs w:val="20"/>
        </w:rPr>
        <w:fldChar w:fldCharType="begin"/>
      </w:r>
      <w:r w:rsidR="00721C5B">
        <w:rPr>
          <w:rFonts w:ascii="Arial" w:hAnsi="Arial" w:cs="Arial"/>
          <w:sz w:val="20"/>
          <w:szCs w:val="20"/>
        </w:rPr>
        <w:instrText xml:space="preserve"> ADDIN EN.CITE &lt;EndNote&gt;&lt;Cite&gt;&lt;Author&gt;Medicare Australian Statistics&lt;/Author&gt;&lt;Year&gt;2021&lt;/Year&gt;&lt;RecNum&gt;185&lt;/RecNum&gt;&lt;DisplayText&gt;(2)&lt;/DisplayText&gt;&lt;record&gt;&lt;rec-number&gt;185&lt;/rec-number&gt;&lt;foreign-keys&gt;&lt;key app="EN" db-id="svdp0rse82vw04efxzipdert5ztavr5005re" timestamp="1646102936" guid="f715b520-0532-456b-8d79-9e6bfb744132"&gt;185&lt;/key&gt;&lt;/foreign-keys&gt;&lt;ref-type name="Web Page"&gt;12&lt;/ref-type&gt;&lt;contributors&gt;&lt;authors&gt;&lt;author&gt;Medicare Australian Statistics,&lt;/author&gt;&lt;/authors&gt;&lt;/contributors&gt;&lt;titles&gt;&lt;title&gt;Requested MBS category by group and subgroup processed from March 2020 to July 2021&lt;/title&gt;&lt;/titles&gt;&lt;volume&gt;2021&lt;/volume&gt;&lt;number&gt;14 December&lt;/number&gt;&lt;dates&gt;&lt;year&gt;2021&lt;/year&gt;&lt;pub-dates&gt;&lt;date&gt;2021 Nov 25&lt;/date&gt;&lt;/pub-dates&gt;&lt;/dates&gt;&lt;pub-location&gt;Canberra&lt;/pub-location&gt;&lt;publisher&gt;Australian Government Department of Human Services&lt;/publisher&gt;&lt;work-type&gt;Online Database&lt;/work-type&gt;&lt;urls&gt;&lt;related-urls&gt;&lt;url&gt;http://medicarestatistics.humanservices.gov.au/statistics/pbs_group.jsp&lt;/url&gt;&lt;/related-urls&gt;&lt;/urls&gt;&lt;custom1&gt;2021&lt;/custom1&gt;&lt;custom2&gt;Dec 14&lt;/custom2&gt;&lt;/record&gt;&lt;/Cite&gt;&lt;/EndNote&gt;</w:instrText>
      </w:r>
      <w:r w:rsidRPr="00DE2A68">
        <w:rPr>
          <w:rFonts w:ascii="Arial" w:hAnsi="Arial" w:cs="Arial"/>
          <w:sz w:val="20"/>
          <w:szCs w:val="20"/>
        </w:rPr>
        <w:fldChar w:fldCharType="separate"/>
      </w:r>
      <w:r w:rsidR="00721C5B">
        <w:rPr>
          <w:rFonts w:ascii="Arial" w:hAnsi="Arial" w:cs="Arial"/>
          <w:noProof/>
          <w:sz w:val="20"/>
          <w:szCs w:val="20"/>
        </w:rPr>
        <w:t>(2)</w:t>
      </w:r>
      <w:r w:rsidRPr="00DE2A68">
        <w:rPr>
          <w:rFonts w:ascii="Arial" w:hAnsi="Arial" w:cs="Arial"/>
          <w:sz w:val="20"/>
          <w:szCs w:val="20"/>
        </w:rPr>
        <w:fldChar w:fldCharType="end"/>
      </w:r>
      <w:r w:rsidRPr="00DE2A68">
        <w:rPr>
          <w:rFonts w:ascii="Arial" w:hAnsi="Arial" w:cs="Arial"/>
          <w:sz w:val="20"/>
          <w:szCs w:val="20"/>
        </w:rPr>
        <w:t>. This may reflect</w:t>
      </w:r>
      <w:r w:rsidR="0024485F" w:rsidRPr="00DE2A68">
        <w:rPr>
          <w:rFonts w:ascii="Arial" w:hAnsi="Arial" w:cs="Arial"/>
          <w:sz w:val="20"/>
          <w:szCs w:val="20"/>
        </w:rPr>
        <w:t xml:space="preserve"> </w:t>
      </w:r>
      <w:r w:rsidR="00F31E59">
        <w:rPr>
          <w:rFonts w:ascii="Arial" w:hAnsi="Arial" w:cs="Arial"/>
          <w:sz w:val="20"/>
          <w:szCs w:val="20"/>
        </w:rPr>
        <w:t xml:space="preserve">decreased confidence in conducting telephone consultations, which has been reported internationally amongst GP </w:t>
      </w:r>
      <w:proofErr w:type="gramStart"/>
      <w:r w:rsidR="00F31E59">
        <w:rPr>
          <w:rFonts w:ascii="Arial" w:hAnsi="Arial" w:cs="Arial"/>
          <w:sz w:val="20"/>
          <w:szCs w:val="20"/>
        </w:rPr>
        <w:t>trainees</w:t>
      </w:r>
      <w:proofErr w:type="gramEnd"/>
      <w:r w:rsidR="00231C6D">
        <w:rPr>
          <w:rFonts w:ascii="Arial" w:hAnsi="Arial" w:cs="Arial"/>
          <w:sz w:val="20"/>
          <w:szCs w:val="20"/>
        </w:rPr>
        <w:t xml:space="preserve"> pre-pandemic</w:t>
      </w:r>
      <w:r w:rsidR="00F31E59">
        <w:rPr>
          <w:rFonts w:ascii="Arial" w:hAnsi="Arial" w:cs="Arial"/>
          <w:sz w:val="20"/>
          <w:szCs w:val="20"/>
        </w:rPr>
        <w:t xml:space="preserve"> </w:t>
      </w:r>
      <w:r w:rsidR="00F31E59">
        <w:rPr>
          <w:rFonts w:ascii="Arial" w:hAnsi="Arial" w:cs="Arial"/>
          <w:sz w:val="20"/>
          <w:szCs w:val="20"/>
        </w:rPr>
        <w:fldChar w:fldCharType="begin">
          <w:fldData xml:space="preserve">PEVuZE5vdGU+PENpdGU+PEF1dGhvcj5DaGF1ZGhyeTwvQXV0aG9yPjxZZWFyPjIwMjA8L1llYXI+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</w:fldData>
        </w:fldChar>
      </w:r>
      <w:r w:rsidR="00721C5B">
        <w:rPr>
          <w:rFonts w:ascii="Arial" w:hAnsi="Arial" w:cs="Arial"/>
          <w:sz w:val="20"/>
          <w:szCs w:val="20"/>
        </w:rPr>
        <w:instrText xml:space="preserve"> ADDIN EN.CITE </w:instrText>
      </w:r>
      <w:r w:rsidR="00721C5B">
        <w:rPr>
          <w:rFonts w:ascii="Arial" w:hAnsi="Arial" w:cs="Arial"/>
          <w:sz w:val="20"/>
          <w:szCs w:val="20"/>
        </w:rPr>
        <w:fldChar w:fldCharType="begin">
          <w:fldData xml:space="preserve">PEVuZE5vdGU+PENpdGU+PEF1dGhvcj5DaGF1ZGhyeTwvQXV0aG9yPjxZZWFyPjIwMjA8L1llYXI+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</w:fldData>
        </w:fldChar>
      </w:r>
      <w:r w:rsidR="00721C5B">
        <w:rPr>
          <w:rFonts w:ascii="Arial" w:hAnsi="Arial" w:cs="Arial"/>
          <w:sz w:val="20"/>
          <w:szCs w:val="20"/>
        </w:rPr>
        <w:instrText xml:space="preserve"> ADDIN EN.CITE.DATA </w:instrText>
      </w:r>
      <w:r w:rsidR="00721C5B">
        <w:rPr>
          <w:rFonts w:ascii="Arial" w:hAnsi="Arial" w:cs="Arial"/>
          <w:sz w:val="20"/>
          <w:szCs w:val="20"/>
        </w:rPr>
      </w:r>
      <w:r w:rsidR="00721C5B">
        <w:rPr>
          <w:rFonts w:ascii="Arial" w:hAnsi="Arial" w:cs="Arial"/>
          <w:sz w:val="20"/>
          <w:szCs w:val="20"/>
        </w:rPr>
        <w:fldChar w:fldCharType="end"/>
      </w:r>
      <w:r w:rsidR="00F31E59">
        <w:rPr>
          <w:rFonts w:ascii="Arial" w:hAnsi="Arial" w:cs="Arial"/>
          <w:sz w:val="20"/>
          <w:szCs w:val="20"/>
        </w:rPr>
      </w:r>
      <w:r w:rsidR="00F31E59">
        <w:rPr>
          <w:rFonts w:ascii="Arial" w:hAnsi="Arial" w:cs="Arial"/>
          <w:sz w:val="20"/>
          <w:szCs w:val="20"/>
        </w:rPr>
        <w:fldChar w:fldCharType="separate"/>
      </w:r>
      <w:r w:rsidR="00721C5B">
        <w:rPr>
          <w:rFonts w:ascii="Arial" w:hAnsi="Arial" w:cs="Arial"/>
          <w:noProof/>
          <w:sz w:val="20"/>
          <w:szCs w:val="20"/>
        </w:rPr>
        <w:t>(3)</w:t>
      </w:r>
      <w:r w:rsidR="00F31E59">
        <w:rPr>
          <w:rFonts w:ascii="Arial" w:hAnsi="Arial" w:cs="Arial"/>
          <w:sz w:val="20"/>
          <w:szCs w:val="20"/>
        </w:rPr>
        <w:fldChar w:fldCharType="end"/>
      </w:r>
      <w:r w:rsidR="00F31E59">
        <w:rPr>
          <w:rFonts w:ascii="Arial" w:hAnsi="Arial" w:cs="Arial"/>
          <w:sz w:val="20"/>
          <w:szCs w:val="20"/>
        </w:rPr>
        <w:t xml:space="preserve">. </w:t>
      </w:r>
      <w:r w:rsidR="00A31507" w:rsidRPr="00DE2A68">
        <w:rPr>
          <w:rFonts w:ascii="Arial" w:hAnsi="Arial" w:cs="Arial"/>
          <w:sz w:val="20"/>
          <w:szCs w:val="20"/>
        </w:rPr>
        <w:t>P</w:t>
      </w:r>
      <w:r w:rsidR="00C14010" w:rsidRPr="00DE2A68">
        <w:rPr>
          <w:rFonts w:ascii="Arial" w:hAnsi="Arial" w:cs="Arial"/>
          <w:sz w:val="20"/>
          <w:szCs w:val="20"/>
        </w:rPr>
        <w:t xml:space="preserve">atients </w:t>
      </w:r>
      <w:r w:rsidR="00195CAB" w:rsidRPr="00DE2A68">
        <w:rPr>
          <w:rFonts w:ascii="Arial" w:hAnsi="Arial" w:cs="Arial"/>
          <w:sz w:val="20"/>
          <w:szCs w:val="20"/>
        </w:rPr>
        <w:t xml:space="preserve">≥65 years </w:t>
      </w:r>
      <w:r w:rsidR="00C14010" w:rsidRPr="00DE2A68">
        <w:rPr>
          <w:rFonts w:ascii="Arial" w:hAnsi="Arial" w:cs="Arial"/>
          <w:sz w:val="20"/>
          <w:szCs w:val="20"/>
        </w:rPr>
        <w:t xml:space="preserve">were less likely to be seen via telehealth, which was comparable to existing literature </w:t>
      </w:r>
      <w:r w:rsidR="00A31507" w:rsidRPr="00DE2A68">
        <w:rPr>
          <w:rFonts w:ascii="Arial" w:hAnsi="Arial" w:cs="Arial"/>
          <w:sz w:val="20"/>
          <w:szCs w:val="20"/>
        </w:rPr>
        <w:fldChar w:fldCharType="begin">
          <w:fldData xml:space="preserve">PEVuZE5vdGU+PENpdGU+PEF1dGhvcj5IYW1tZXJzbGV5PC9BdXRob3I+PFllYXI+MjAxOTwvWWVh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</w:fldData>
        </w:fldChar>
      </w:r>
      <w:r w:rsidR="00721C5B">
        <w:rPr>
          <w:rFonts w:ascii="Arial" w:hAnsi="Arial" w:cs="Arial"/>
          <w:sz w:val="20"/>
          <w:szCs w:val="20"/>
        </w:rPr>
        <w:instrText xml:space="preserve"> ADDIN EN.CITE </w:instrText>
      </w:r>
      <w:r w:rsidR="00721C5B">
        <w:rPr>
          <w:rFonts w:ascii="Arial" w:hAnsi="Arial" w:cs="Arial"/>
          <w:sz w:val="20"/>
          <w:szCs w:val="20"/>
        </w:rPr>
        <w:fldChar w:fldCharType="begin">
          <w:fldData xml:space="preserve">PEVuZE5vdGU+PENpdGU+PEF1dGhvcj5IYW1tZXJzbGV5PC9BdXRob3I+PFllYXI+MjAxOTwvWWVh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</w:fldData>
        </w:fldChar>
      </w:r>
      <w:r w:rsidR="00721C5B">
        <w:rPr>
          <w:rFonts w:ascii="Arial" w:hAnsi="Arial" w:cs="Arial"/>
          <w:sz w:val="20"/>
          <w:szCs w:val="20"/>
        </w:rPr>
        <w:instrText xml:space="preserve"> ADDIN EN.CITE.DATA </w:instrText>
      </w:r>
      <w:r w:rsidR="00721C5B">
        <w:rPr>
          <w:rFonts w:ascii="Arial" w:hAnsi="Arial" w:cs="Arial"/>
          <w:sz w:val="20"/>
          <w:szCs w:val="20"/>
        </w:rPr>
      </w:r>
      <w:r w:rsidR="00721C5B">
        <w:rPr>
          <w:rFonts w:ascii="Arial" w:hAnsi="Arial" w:cs="Arial"/>
          <w:sz w:val="20"/>
          <w:szCs w:val="20"/>
        </w:rPr>
        <w:fldChar w:fldCharType="end"/>
      </w:r>
      <w:r w:rsidR="00A31507" w:rsidRPr="00DE2A68">
        <w:rPr>
          <w:rFonts w:ascii="Arial" w:hAnsi="Arial" w:cs="Arial"/>
          <w:sz w:val="20"/>
          <w:szCs w:val="20"/>
        </w:rPr>
      </w:r>
      <w:r w:rsidR="00A31507" w:rsidRPr="00DE2A68">
        <w:rPr>
          <w:rFonts w:ascii="Arial" w:hAnsi="Arial" w:cs="Arial"/>
          <w:sz w:val="20"/>
          <w:szCs w:val="20"/>
        </w:rPr>
        <w:fldChar w:fldCharType="separate"/>
      </w:r>
      <w:r w:rsidR="00721C5B">
        <w:rPr>
          <w:rFonts w:ascii="Arial" w:hAnsi="Arial" w:cs="Arial"/>
          <w:noProof/>
          <w:sz w:val="20"/>
          <w:szCs w:val="20"/>
        </w:rPr>
        <w:t>(4, 5)</w:t>
      </w:r>
      <w:r w:rsidR="00A31507" w:rsidRPr="00DE2A68">
        <w:rPr>
          <w:rFonts w:ascii="Arial" w:hAnsi="Arial" w:cs="Arial"/>
          <w:sz w:val="20"/>
          <w:szCs w:val="20"/>
        </w:rPr>
        <w:fldChar w:fldCharType="end"/>
      </w:r>
      <w:r w:rsidR="00A31507" w:rsidRPr="00DE2A68">
        <w:rPr>
          <w:rFonts w:ascii="Arial" w:hAnsi="Arial" w:cs="Arial"/>
          <w:sz w:val="20"/>
          <w:szCs w:val="20"/>
        </w:rPr>
        <w:t>,</w:t>
      </w:r>
      <w:r w:rsidR="00F31E59">
        <w:rPr>
          <w:rFonts w:ascii="Arial" w:hAnsi="Arial" w:cs="Arial"/>
          <w:sz w:val="20"/>
          <w:szCs w:val="20"/>
        </w:rPr>
        <w:t xml:space="preserve"> as were CALD patients, which may reflect </w:t>
      </w:r>
      <w:r w:rsidR="00AE29EB">
        <w:rPr>
          <w:rFonts w:ascii="Arial" w:hAnsi="Arial" w:cs="Arial"/>
          <w:sz w:val="20"/>
          <w:szCs w:val="20"/>
        </w:rPr>
        <w:t xml:space="preserve">communication and language </w:t>
      </w:r>
      <w:r w:rsidR="00F31E59">
        <w:rPr>
          <w:rFonts w:ascii="Arial" w:hAnsi="Arial" w:cs="Arial"/>
          <w:sz w:val="20"/>
          <w:szCs w:val="20"/>
        </w:rPr>
        <w:t>barriers to telehealth use</w:t>
      </w:r>
      <w:r w:rsidR="00AE29EB">
        <w:rPr>
          <w:rFonts w:ascii="Arial" w:hAnsi="Arial" w:cs="Arial"/>
          <w:sz w:val="20"/>
          <w:szCs w:val="20"/>
        </w:rPr>
        <w:t>.</w:t>
      </w:r>
    </w:p>
    <w:p w14:paraId="48EE6312" w14:textId="77777777" w:rsidR="00E34A64" w:rsidRPr="00DE2A68" w:rsidRDefault="00E34A64" w:rsidP="00AF178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E98B06" w14:textId="1B398024" w:rsidR="005F00CA" w:rsidRPr="00DE2A68" w:rsidRDefault="005F00CA" w:rsidP="00AF178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E2A68">
        <w:rPr>
          <w:rFonts w:ascii="Arial" w:hAnsi="Arial" w:cs="Arial"/>
          <w:b/>
          <w:bCs/>
          <w:sz w:val="20"/>
          <w:szCs w:val="20"/>
        </w:rPr>
        <w:t>Conclusion</w:t>
      </w:r>
    </w:p>
    <w:p w14:paraId="5F3949EB" w14:textId="34563916" w:rsidR="00021A18" w:rsidRPr="00DE2A68" w:rsidRDefault="00804C07" w:rsidP="00AF178D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Most</w:t>
      </w:r>
      <w:r w:rsidR="00E34A64" w:rsidRPr="00DE2A68">
        <w:rPr>
          <w:rFonts w:ascii="Arial" w:hAnsi="Arial" w:cs="Arial"/>
          <w:bCs/>
          <w:sz w:val="20"/>
          <w:szCs w:val="20"/>
        </w:rPr>
        <w:t xml:space="preserve"> telehealth consultations were performed via phone, which</w:t>
      </w:r>
      <w:r w:rsidR="00C60A33">
        <w:rPr>
          <w:rFonts w:ascii="Arial" w:hAnsi="Arial" w:cs="Arial"/>
          <w:bCs/>
          <w:sz w:val="20"/>
          <w:szCs w:val="20"/>
        </w:rPr>
        <w:t xml:space="preserve"> limits the ability to perform </w:t>
      </w:r>
      <w:r w:rsidR="00E34A64" w:rsidRPr="00DE2A68">
        <w:rPr>
          <w:rFonts w:ascii="Arial" w:hAnsi="Arial" w:cs="Arial"/>
          <w:bCs/>
          <w:sz w:val="20"/>
          <w:szCs w:val="20"/>
        </w:rPr>
        <w:t>remote physical examination. F</w:t>
      </w:r>
      <w:r w:rsidR="00195CAB" w:rsidRPr="00DE2A68">
        <w:rPr>
          <w:rFonts w:ascii="Arial" w:hAnsi="Arial" w:cs="Arial"/>
          <w:bCs/>
          <w:sz w:val="20"/>
          <w:szCs w:val="20"/>
        </w:rPr>
        <w:t xml:space="preserve">uture </w:t>
      </w:r>
      <w:r w:rsidR="00E34A64" w:rsidRPr="00DE2A68">
        <w:rPr>
          <w:rFonts w:ascii="Arial" w:hAnsi="Arial" w:cs="Arial"/>
          <w:bCs/>
          <w:sz w:val="20"/>
          <w:szCs w:val="20"/>
        </w:rPr>
        <w:t xml:space="preserve">research should focus on </w:t>
      </w:r>
      <w:r w:rsidR="00195CAB" w:rsidRPr="00DE2A68">
        <w:rPr>
          <w:rFonts w:ascii="Arial" w:hAnsi="Arial" w:cs="Arial"/>
          <w:bCs/>
          <w:sz w:val="20"/>
          <w:szCs w:val="20"/>
        </w:rPr>
        <w:t>strategies</w:t>
      </w:r>
      <w:r w:rsidR="00E34A64" w:rsidRPr="00DE2A68">
        <w:rPr>
          <w:rFonts w:ascii="Arial" w:hAnsi="Arial" w:cs="Arial"/>
          <w:bCs/>
          <w:sz w:val="20"/>
          <w:szCs w:val="20"/>
        </w:rPr>
        <w:t xml:space="preserve"> to increase videoconferencing</w:t>
      </w:r>
      <w:r w:rsidR="00DE2A68" w:rsidRPr="00DE2A68">
        <w:rPr>
          <w:rFonts w:ascii="Arial" w:hAnsi="Arial" w:cs="Arial"/>
          <w:bCs/>
          <w:sz w:val="20"/>
          <w:szCs w:val="20"/>
        </w:rPr>
        <w:t xml:space="preserve"> uptake</w:t>
      </w:r>
      <w:r w:rsidR="00E34A64" w:rsidRPr="00DE2A68">
        <w:rPr>
          <w:rFonts w:ascii="Arial" w:hAnsi="Arial" w:cs="Arial"/>
          <w:bCs/>
          <w:sz w:val="20"/>
          <w:szCs w:val="20"/>
        </w:rPr>
        <w:t xml:space="preserve">. </w:t>
      </w:r>
      <w:r w:rsidR="00231C6D">
        <w:rPr>
          <w:rFonts w:ascii="Arial" w:hAnsi="Arial" w:cs="Arial"/>
          <w:bCs/>
          <w:sz w:val="20"/>
          <w:szCs w:val="20"/>
        </w:rPr>
        <w:t>Our</w:t>
      </w:r>
      <w:r w:rsidR="00E34A64" w:rsidRPr="00DE2A68">
        <w:rPr>
          <w:rFonts w:ascii="Arial" w:hAnsi="Arial" w:cs="Arial"/>
          <w:bCs/>
          <w:sz w:val="20"/>
          <w:szCs w:val="20"/>
        </w:rPr>
        <w:t xml:space="preserve"> findings </w:t>
      </w:r>
      <w:r w:rsidR="00231C6D">
        <w:rPr>
          <w:rFonts w:ascii="Arial" w:hAnsi="Arial" w:cs="Arial"/>
          <w:bCs/>
          <w:sz w:val="20"/>
          <w:szCs w:val="20"/>
        </w:rPr>
        <w:t xml:space="preserve">also </w:t>
      </w:r>
      <w:r w:rsidR="00E34A64" w:rsidRPr="00DE2A68">
        <w:rPr>
          <w:rFonts w:ascii="Arial" w:hAnsi="Arial" w:cs="Arial"/>
          <w:bCs/>
          <w:sz w:val="20"/>
          <w:szCs w:val="20"/>
        </w:rPr>
        <w:t>suggest barriers to telehealth</w:t>
      </w:r>
      <w:r w:rsidR="00195CAB" w:rsidRPr="00DE2A68">
        <w:rPr>
          <w:rFonts w:ascii="Arial" w:hAnsi="Arial" w:cs="Arial"/>
          <w:bCs/>
          <w:sz w:val="20"/>
          <w:szCs w:val="20"/>
        </w:rPr>
        <w:t xml:space="preserve"> </w:t>
      </w:r>
      <w:r w:rsidR="00E34A64" w:rsidRPr="00DE2A68">
        <w:rPr>
          <w:rFonts w:ascii="Arial" w:hAnsi="Arial" w:cs="Arial"/>
          <w:bCs/>
          <w:sz w:val="20"/>
          <w:szCs w:val="20"/>
        </w:rPr>
        <w:t xml:space="preserve">amongst vulnerable population groups, which has implications for health equity. </w:t>
      </w:r>
    </w:p>
    <w:p w14:paraId="73EDDC9D" w14:textId="60B4A244" w:rsidR="00195CAB" w:rsidRPr="00DE2A68" w:rsidRDefault="00195CAB" w:rsidP="00AF178D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DE2A68">
        <w:rPr>
          <w:rFonts w:ascii="Arial" w:hAnsi="Arial" w:cs="Arial"/>
          <w:b/>
          <w:bCs/>
          <w:sz w:val="20"/>
          <w:szCs w:val="20"/>
        </w:rPr>
        <w:lastRenderedPageBreak/>
        <w:t>References</w:t>
      </w:r>
    </w:p>
    <w:p w14:paraId="0FCA58F6" w14:textId="77777777" w:rsidR="00D70CDA" w:rsidRPr="00DE2A68" w:rsidRDefault="00D70CDA" w:rsidP="00AF178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62B9F8" w14:textId="46C1EAB3" w:rsidR="00721C5B" w:rsidRPr="00721C5B" w:rsidRDefault="00D70CDA" w:rsidP="00AF178D">
      <w:pPr>
        <w:pStyle w:val="EndNoteBibliography"/>
        <w:spacing w:after="0"/>
      </w:pPr>
      <w:r w:rsidRPr="00DE2A68">
        <w:rPr>
          <w:szCs w:val="20"/>
        </w:rPr>
        <w:fldChar w:fldCharType="begin"/>
      </w:r>
      <w:r w:rsidRPr="00DE2A68">
        <w:rPr>
          <w:szCs w:val="20"/>
        </w:rPr>
        <w:instrText xml:space="preserve"> ADDIN EN.REFLIST </w:instrText>
      </w:r>
      <w:r w:rsidRPr="00DE2A68">
        <w:rPr>
          <w:szCs w:val="20"/>
        </w:rPr>
        <w:fldChar w:fldCharType="separate"/>
      </w:r>
      <w:r w:rsidR="00721C5B" w:rsidRPr="00721C5B">
        <w:t>1.</w:t>
      </w:r>
      <w:r w:rsidR="00721C5B" w:rsidRPr="00721C5B">
        <w:tab/>
        <w:t xml:space="preserve">The Hon Greg Hunt MP. Permanent telehealth to strengthen universal Medicare [Press Release]. Canberra: Australian Government Department of Health; 2021 [cited 2021 Dec 15]. Available from: </w:t>
      </w:r>
      <w:hyperlink r:id="rId9" w:history="1">
        <w:r w:rsidR="00721C5B" w:rsidRPr="00721C5B">
          <w:rPr>
            <w:rStyle w:val="Hyperlink"/>
          </w:rPr>
          <w:t>https://www.health.gov.au/ministers/the-hon-greg-hunt-mp/media/permanent-telehealth-to-strengthen-universal-medicare</w:t>
        </w:r>
      </w:hyperlink>
      <w:r w:rsidR="00721C5B" w:rsidRPr="00721C5B">
        <w:t>.</w:t>
      </w:r>
    </w:p>
    <w:p w14:paraId="246C01A5" w14:textId="70F27058" w:rsidR="00721C5B" w:rsidRPr="00721C5B" w:rsidRDefault="00721C5B" w:rsidP="00AF178D">
      <w:pPr>
        <w:pStyle w:val="EndNoteBibliography"/>
        <w:spacing w:after="0"/>
      </w:pPr>
      <w:r w:rsidRPr="00721C5B">
        <w:t>2.</w:t>
      </w:r>
      <w:r w:rsidRPr="00721C5B">
        <w:tab/>
        <w:t xml:space="preserve">Medicare Australian Statistics. Requested MBS category by group and subgroup processed from March 2020 to July 2021 [Online Database]. Canberra: Australian Government Department of Human Services; 2021 [updated 2021 Nov 25; cited 2021 Dec 14]. Available from: </w:t>
      </w:r>
      <w:hyperlink r:id="rId10" w:history="1">
        <w:r w:rsidRPr="00721C5B">
          <w:rPr>
            <w:rStyle w:val="Hyperlink"/>
          </w:rPr>
          <w:t>http://medicarestatistics.humanservices.gov.au/statistics/pbs_group.jsp</w:t>
        </w:r>
      </w:hyperlink>
      <w:r w:rsidRPr="00721C5B">
        <w:t>.</w:t>
      </w:r>
    </w:p>
    <w:p w14:paraId="2E165B8E" w14:textId="77777777" w:rsidR="00721C5B" w:rsidRPr="00721C5B" w:rsidRDefault="00721C5B" w:rsidP="00AF178D">
      <w:pPr>
        <w:pStyle w:val="EndNoteBibliography"/>
        <w:spacing w:after="0"/>
      </w:pPr>
      <w:r w:rsidRPr="00721C5B">
        <w:t>3.</w:t>
      </w:r>
      <w:r w:rsidRPr="00721C5B">
        <w:tab/>
        <w:t>Chaudhry U, Ibison J, Harris T, Rafi I, Johnston M, Fawns T. Experiences of GP trainees in undertaking telephone consultations: a mixed-methods study. BJGP Open. 2020;4(1).</w:t>
      </w:r>
    </w:p>
    <w:p w14:paraId="26E0FEB0" w14:textId="77777777" w:rsidR="00721C5B" w:rsidRPr="00721C5B" w:rsidRDefault="00721C5B" w:rsidP="00AF178D">
      <w:pPr>
        <w:pStyle w:val="EndNoteBibliography"/>
        <w:spacing w:after="0"/>
      </w:pPr>
      <w:r w:rsidRPr="00721C5B">
        <w:t>4.</w:t>
      </w:r>
      <w:r w:rsidRPr="00721C5B">
        <w:tab/>
        <w:t>Hammersley V, Donaghy E, Parker R, McNeilly H, Atherton H, Bikker A, et al. Comparing the content and quality of video, telephone, and face-to-face consultations: a non-randomised, quasi-experimental, exploratory study in UK primary care. Br J Gen Pract. 2019;69(686):e595-e604.</w:t>
      </w:r>
    </w:p>
    <w:p w14:paraId="2A60363D" w14:textId="77777777" w:rsidR="00721C5B" w:rsidRPr="00721C5B" w:rsidRDefault="00721C5B" w:rsidP="00AF178D">
      <w:pPr>
        <w:pStyle w:val="EndNoteBibliography"/>
      </w:pPr>
      <w:r w:rsidRPr="00721C5B">
        <w:t>5.</w:t>
      </w:r>
      <w:r w:rsidRPr="00721C5B">
        <w:tab/>
        <w:t>Hardie R-A, Sezgin G, Dai Z, Wabe N, Georgiou A. Socioeconomic and demographic comparisons in the uptake of telehealth services during COVID-19. COVID-19 General Practice Snapshot. 2021(2).</w:t>
      </w:r>
    </w:p>
    <w:p w14:paraId="5F62321B" w14:textId="7377202C" w:rsidR="003C7861" w:rsidRPr="00B60342" w:rsidRDefault="00D70CDA" w:rsidP="00AF178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DE2A68">
        <w:rPr>
          <w:rFonts w:ascii="Arial" w:hAnsi="Arial" w:cs="Arial"/>
          <w:sz w:val="20"/>
          <w:szCs w:val="20"/>
        </w:rPr>
        <w:fldChar w:fldCharType="end"/>
      </w:r>
    </w:p>
    <w:sectPr w:rsidR="003C7861" w:rsidRPr="00B6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94FF7"/>
    <w:multiLevelType w:val="hybridMultilevel"/>
    <w:tmpl w:val="04E04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3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MDK1sLAwtzAytzBV0lEKTi0uzszPAykwrAUAoMtDo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dp0rse82vw04efxzipdert5ztavr5005re&quot;&gt;My EndNote Library&lt;record-ids&gt;&lt;item&gt;94&lt;/item&gt;&lt;item&gt;151&lt;/item&gt;&lt;item&gt;174&lt;/item&gt;&lt;item&gt;180&lt;/item&gt;&lt;item&gt;185&lt;/item&gt;&lt;/record-ids&gt;&lt;/item&gt;&lt;/Libraries&gt;"/>
  </w:docVars>
  <w:rsids>
    <w:rsidRoot w:val="00E317F3"/>
    <w:rsid w:val="00005EA0"/>
    <w:rsid w:val="000104AF"/>
    <w:rsid w:val="00021A18"/>
    <w:rsid w:val="000A2711"/>
    <w:rsid w:val="00102F26"/>
    <w:rsid w:val="00106859"/>
    <w:rsid w:val="00127903"/>
    <w:rsid w:val="00181B02"/>
    <w:rsid w:val="00191117"/>
    <w:rsid w:val="00195CAB"/>
    <w:rsid w:val="00204BEB"/>
    <w:rsid w:val="00231C6D"/>
    <w:rsid w:val="0024485F"/>
    <w:rsid w:val="00250A12"/>
    <w:rsid w:val="00282310"/>
    <w:rsid w:val="003511AB"/>
    <w:rsid w:val="003C7861"/>
    <w:rsid w:val="003D6105"/>
    <w:rsid w:val="00404452"/>
    <w:rsid w:val="005335A9"/>
    <w:rsid w:val="00594699"/>
    <w:rsid w:val="005B0D1F"/>
    <w:rsid w:val="005F00CA"/>
    <w:rsid w:val="006240BE"/>
    <w:rsid w:val="00640CEC"/>
    <w:rsid w:val="006C4819"/>
    <w:rsid w:val="006F007C"/>
    <w:rsid w:val="00721C5B"/>
    <w:rsid w:val="00751388"/>
    <w:rsid w:val="007540A5"/>
    <w:rsid w:val="007D3507"/>
    <w:rsid w:val="00801936"/>
    <w:rsid w:val="00804C07"/>
    <w:rsid w:val="008168C9"/>
    <w:rsid w:val="0083318C"/>
    <w:rsid w:val="00840D8B"/>
    <w:rsid w:val="008E437D"/>
    <w:rsid w:val="0090081C"/>
    <w:rsid w:val="00910C24"/>
    <w:rsid w:val="009163D5"/>
    <w:rsid w:val="0091642B"/>
    <w:rsid w:val="009A3B77"/>
    <w:rsid w:val="009F25DC"/>
    <w:rsid w:val="00A1122A"/>
    <w:rsid w:val="00A31507"/>
    <w:rsid w:val="00A85881"/>
    <w:rsid w:val="00AE29EB"/>
    <w:rsid w:val="00AF178D"/>
    <w:rsid w:val="00B60342"/>
    <w:rsid w:val="00B76E82"/>
    <w:rsid w:val="00B9140B"/>
    <w:rsid w:val="00C11824"/>
    <w:rsid w:val="00C14010"/>
    <w:rsid w:val="00C60A33"/>
    <w:rsid w:val="00C679E8"/>
    <w:rsid w:val="00C83C18"/>
    <w:rsid w:val="00CC118D"/>
    <w:rsid w:val="00CC3502"/>
    <w:rsid w:val="00D273AA"/>
    <w:rsid w:val="00D54048"/>
    <w:rsid w:val="00D70CDA"/>
    <w:rsid w:val="00DE12FE"/>
    <w:rsid w:val="00DE2A68"/>
    <w:rsid w:val="00DF7A3A"/>
    <w:rsid w:val="00E10A98"/>
    <w:rsid w:val="00E21D3C"/>
    <w:rsid w:val="00E317F3"/>
    <w:rsid w:val="00E3452D"/>
    <w:rsid w:val="00E34A64"/>
    <w:rsid w:val="00E66A3D"/>
    <w:rsid w:val="00E740EF"/>
    <w:rsid w:val="00F111CF"/>
    <w:rsid w:val="00F2348A"/>
    <w:rsid w:val="00F31904"/>
    <w:rsid w:val="00F31E59"/>
    <w:rsid w:val="00F90843"/>
    <w:rsid w:val="00F92339"/>
    <w:rsid w:val="00FA1171"/>
    <w:rsid w:val="00FC1CAB"/>
    <w:rsid w:val="130C912A"/>
    <w:rsid w:val="16E61FC3"/>
    <w:rsid w:val="1FBA3ECE"/>
    <w:rsid w:val="21ECF7F1"/>
    <w:rsid w:val="226C50FD"/>
    <w:rsid w:val="27686057"/>
    <w:rsid w:val="2F3B088D"/>
    <w:rsid w:val="328D55EB"/>
    <w:rsid w:val="34C77408"/>
    <w:rsid w:val="35655C1F"/>
    <w:rsid w:val="47267CB8"/>
    <w:rsid w:val="53B9E2AE"/>
    <w:rsid w:val="626B2FB1"/>
    <w:rsid w:val="63F72FEE"/>
    <w:rsid w:val="707F2F1B"/>
    <w:rsid w:val="7A94F688"/>
    <w:rsid w:val="7B29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4E0D3"/>
  <w15:chartTrackingRefBased/>
  <w15:docId w15:val="{2D0D6CA8-11BA-4942-893C-F37CB61E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1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31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90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F00CA"/>
    <w:pPr>
      <w:spacing w:after="0" w:line="240" w:lineRule="auto"/>
    </w:pPr>
  </w:style>
  <w:style w:type="paragraph" w:styleId="NoSpacing">
    <w:name w:val="No Spacing"/>
    <w:uiPriority w:val="1"/>
    <w:qFormat/>
    <w:rsid w:val="003C7861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D70CDA"/>
    <w:pPr>
      <w:spacing w:after="0"/>
      <w:jc w:val="center"/>
    </w:pPr>
    <w:rPr>
      <w:rFonts w:ascii="Arial" w:hAnsi="Arial" w:cs="Arial"/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70CDA"/>
    <w:rPr>
      <w:rFonts w:ascii="Arial" w:hAnsi="Arial" w:cs="Arial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70CDA"/>
    <w:pPr>
      <w:spacing w:line="240" w:lineRule="auto"/>
    </w:pPr>
    <w:rPr>
      <w:rFonts w:ascii="Arial" w:hAnsi="Arial" w:cs="Arial"/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70CDA"/>
    <w:rPr>
      <w:rFonts w:ascii="Arial" w:hAnsi="Arial" w:cs="Arial"/>
      <w:noProof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D70C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C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medicarestatistics.humanservices.gov.au/statistics/pbs_group.js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ealth.gov.au/ministers/the-hon-greg-hunt-mp/media/permanent-telehealth-to-strengthen-universal-medi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FAA0C8204A7E45ABED2F396D5B9043" ma:contentTypeVersion="13" ma:contentTypeDescription="Create a new document." ma:contentTypeScope="" ma:versionID="382302e42017390c7ee0666879112c2d">
  <xsd:schema xmlns:xsd="http://www.w3.org/2001/XMLSchema" xmlns:xs="http://www.w3.org/2001/XMLSchema" xmlns:p="http://schemas.microsoft.com/office/2006/metadata/properties" xmlns:ns2="63a6e35b-1a0d-4b26-8059-9d7fbfec19c3" xmlns:ns3="a07a3165-1127-43a8-abe5-24ec2bedc1af" targetNamespace="http://schemas.microsoft.com/office/2006/metadata/properties" ma:root="true" ma:fieldsID="f80e1b3f576762b28a83a24a2d8a6f08" ns2:_="" ns3:_="">
    <xsd:import namespace="63a6e35b-1a0d-4b26-8059-9d7fbfec19c3"/>
    <xsd:import namespace="a07a3165-1127-43a8-abe5-24ec2bedc1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6e35b-1a0d-4b26-8059-9d7fbfec19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a3165-1127-43a8-abe5-24ec2bedc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a6e35b-1a0d-4b26-8059-9d7fbfec19c3">EDEYZVM3SA3E-1361323000-21547</_dlc_DocId>
    <_dlc_DocIdUrl xmlns="63a6e35b-1a0d-4b26-8059-9d7fbfec19c3">
      <Url>https://onegp.sharepoint.com/sites/doclib/_layouts/15/DocIdRedir.aspx?ID=EDEYZVM3SA3E-1361323000-21547</Url>
      <Description>EDEYZVM3SA3E-1361323000-21547</Description>
    </_dlc_DocIdUrl>
    <SharedWithUsers xmlns="63a6e35b-1a0d-4b26-8059-9d7fbfec19c3">
      <UserInfo>
        <DisplayName>Anita Munoz</DisplayName>
        <AccountId>1692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48221-6441-4F7E-8603-9444DA0AE9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CBA20E-F968-4376-ADA6-BBAE449B7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a6e35b-1a0d-4b26-8059-9d7fbfec19c3"/>
    <ds:schemaRef ds:uri="a07a3165-1127-43a8-abe5-24ec2bedc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0373D-D903-4B68-8D19-C39D060E897C}">
  <ds:schemaRefs>
    <ds:schemaRef ds:uri="http://schemas.microsoft.com/office/2006/metadata/properties"/>
    <ds:schemaRef ds:uri="http://schemas.microsoft.com/office/infopath/2007/PartnerControls"/>
    <ds:schemaRef ds:uri="63a6e35b-1a0d-4b26-8059-9d7fbfec19c3"/>
  </ds:schemaRefs>
</ds:datastoreItem>
</file>

<file path=customXml/itemProps4.xml><?xml version="1.0" encoding="utf-8"?>
<ds:datastoreItem xmlns:ds="http://schemas.openxmlformats.org/officeDocument/2006/customXml" ds:itemID="{FD669B2E-5390-47E4-BB18-3EE36E78A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RACGP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Grigg</dc:creator>
  <cp:keywords/>
  <dc:description/>
  <cp:lastModifiedBy>Melissa Avard</cp:lastModifiedBy>
  <cp:revision>2</cp:revision>
  <dcterms:created xsi:type="dcterms:W3CDTF">2022-08-16T21:50:00Z</dcterms:created>
  <dcterms:modified xsi:type="dcterms:W3CDTF">2022-08-16T21:50:00Z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0x010100B9FAA0C8204A7E45ABED2F396D5B9043</vt:lpwstr>
  </property>
  <property fmtid="{D5CDD505-2E9C-101B-9397-08002B2CF9AE}" pid="3" name="_dlc_DocIdItemGuid">
    <vt:lpwstr>a3e1a054-0976-422b-83cd-55519bb93c37</vt:lpwstr>
  </property>
</Properties>
</file>