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056519" w:rsidRDefault="00D17A02" w:rsidP="00056519">
      <w:pPr>
        <w:pStyle w:val="NoSpacing"/>
      </w:pPr>
      <w:r>
        <w:t>T</w:t>
      </w:r>
      <w:r w:rsidR="00056519">
        <w:t xml:space="preserve">here is </w:t>
      </w:r>
      <w:r w:rsidR="00710BAA">
        <w:t>no accepted standard definition</w:t>
      </w:r>
      <w:r w:rsidR="00056519">
        <w:t xml:space="preserve"> of ‘chronic’ conditions.</w:t>
      </w:r>
      <w:r w:rsidR="0004479C">
        <w:t xml:space="preserve"> </w:t>
      </w:r>
      <w:r w:rsidR="00EF1114">
        <w:t>MBS CDM</w:t>
      </w:r>
      <w:r w:rsidR="00056519">
        <w:t xml:space="preserve"> items for management of ‘c</w:t>
      </w:r>
      <w:r>
        <w:t>hronic and complex care needs</w:t>
      </w:r>
      <w:r w:rsidR="00710BAA">
        <w:t>'</w:t>
      </w:r>
      <w:r w:rsidR="003642EF">
        <w:t xml:space="preserve"> require a</w:t>
      </w:r>
      <w:r w:rsidR="00056519">
        <w:t xml:space="preserve">ssessment </w:t>
      </w:r>
      <w:r w:rsidR="001B4541">
        <w:t xml:space="preserve">(on clinical judgement) </w:t>
      </w:r>
      <w:r w:rsidR="00056519">
        <w:t>of patient eligibility</w:t>
      </w:r>
      <w:r w:rsidR="00936747">
        <w:t xml:space="preserve">, </w:t>
      </w:r>
      <w:r w:rsidR="00A1111C">
        <w:t>with</w:t>
      </w:r>
      <w:r w:rsidR="00936747">
        <w:t xml:space="preserve"> little guidance given. </w:t>
      </w:r>
      <w:r w:rsidR="003642EF">
        <w:t>T</w:t>
      </w:r>
      <w:r w:rsidR="00056519">
        <w:t>he Au</w:t>
      </w:r>
      <w:r>
        <w:t>stralian G</w:t>
      </w:r>
      <w:r w:rsidR="00056519">
        <w:t>overnment</w:t>
      </w:r>
      <w:r w:rsidR="00936747">
        <w:t xml:space="preserve"> defines</w:t>
      </w:r>
      <w:r>
        <w:t xml:space="preserve"> </w:t>
      </w:r>
      <w:r w:rsidR="0004479C">
        <w:t xml:space="preserve">a </w:t>
      </w:r>
      <w:r>
        <w:t>chronic</w:t>
      </w:r>
      <w:r w:rsidR="00936747">
        <w:t xml:space="preserve"> condit</w:t>
      </w:r>
      <w:r w:rsidR="00A1111C">
        <w:t>i</w:t>
      </w:r>
      <w:r w:rsidR="00936747">
        <w:t xml:space="preserve">on as </w:t>
      </w:r>
      <w:r w:rsidR="00056519" w:rsidRPr="001B4541">
        <w:rPr>
          <w:i/>
        </w:rPr>
        <w:t>‘one that has been, or is likely to be, present for six months or more’</w:t>
      </w:r>
      <w:r w:rsidR="00A1111C">
        <w:rPr>
          <w:i/>
        </w:rPr>
        <w:t>.</w:t>
      </w:r>
      <w:r w:rsidR="0004479C">
        <w:rPr>
          <w:i/>
        </w:rPr>
        <w:t xml:space="preserve"> </w:t>
      </w:r>
      <w:r w:rsidR="00A1111C">
        <w:t xml:space="preserve">Duration is only one aspect of chronicity </w:t>
      </w:r>
      <w:r w:rsidR="00936747" w:rsidRPr="00936747">
        <w:t>and</w:t>
      </w:r>
      <w:r>
        <w:t xml:space="preserve"> no list of eligible conditions</w:t>
      </w:r>
      <w:r w:rsidR="00A1111C">
        <w:t xml:space="preserve"> provided</w:t>
      </w:r>
      <w:r>
        <w:t>, just suggested</w:t>
      </w:r>
      <w:r w:rsidR="00EF1114">
        <w:t xml:space="preserve"> common </w:t>
      </w:r>
      <w:r w:rsidR="00A1111C">
        <w:t xml:space="preserve">ones </w:t>
      </w:r>
      <w:r w:rsidR="00EF1114">
        <w:t>(e</w:t>
      </w:r>
      <w:r w:rsidR="003C0F3C">
        <w:t>.</w:t>
      </w:r>
      <w:r w:rsidR="00EF1114">
        <w:t>g</w:t>
      </w:r>
      <w:r w:rsidR="003C0F3C">
        <w:t>.</w:t>
      </w:r>
      <w:r w:rsidR="00EF1114">
        <w:t xml:space="preserve"> asthma, </w:t>
      </w:r>
      <w:r w:rsidR="00662965">
        <w:t xml:space="preserve">diabetes </w:t>
      </w:r>
      <w:r w:rsidR="00936747">
        <w:t xml:space="preserve">etc). </w:t>
      </w:r>
    </w:p>
    <w:p w:rsidR="003642EF" w:rsidRDefault="003642EF" w:rsidP="00E969FA">
      <w:pPr>
        <w:spacing w:after="0"/>
        <w:rPr>
          <w:rFonts w:ascii="Arial" w:hAnsi="Arial" w:cs="Arial"/>
          <w:b/>
        </w:rPr>
      </w:pPr>
    </w:p>
    <w:p w:rsidR="00056519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</w:t>
      </w:r>
      <w:r w:rsidR="00056519">
        <w:rPr>
          <w:rFonts w:ascii="Arial" w:hAnsi="Arial" w:cs="Arial"/>
          <w:b/>
        </w:rPr>
        <w:t>s</w:t>
      </w:r>
    </w:p>
    <w:p w:rsidR="00E969FA" w:rsidRPr="003F534D" w:rsidRDefault="00EF1114" w:rsidP="00E969FA">
      <w:pPr>
        <w:pStyle w:val="NoSpacing"/>
        <w:rPr>
          <w:rFonts w:ascii="Arial" w:hAnsi="Arial" w:cs="Arial"/>
        </w:rPr>
      </w:pPr>
      <w:r>
        <w:t>To</w:t>
      </w:r>
      <w:r w:rsidR="0004479C">
        <w:t xml:space="preserve"> </w:t>
      </w:r>
      <w:r>
        <w:t xml:space="preserve"> deve</w:t>
      </w:r>
      <w:r w:rsidR="003642EF">
        <w:t>l</w:t>
      </w:r>
      <w:r>
        <w:t xml:space="preserve">op </w:t>
      </w:r>
      <w:r w:rsidR="0004479C">
        <w:t xml:space="preserve">a </w:t>
      </w:r>
      <w:r w:rsidR="00056519">
        <w:t>standard definition of ‘chronic’</w:t>
      </w:r>
      <w:r w:rsidR="00662965">
        <w:t xml:space="preserve">; </w:t>
      </w:r>
      <w:r w:rsidR="001B4541">
        <w:t xml:space="preserve">and </w:t>
      </w:r>
      <w:r w:rsidR="0004479C">
        <w:t xml:space="preserve">associated </w:t>
      </w:r>
      <w:r w:rsidR="00662965">
        <w:t>list of ch</w:t>
      </w:r>
      <w:r w:rsidR="003642EF">
        <w:t xml:space="preserve">ronic </w:t>
      </w:r>
      <w:r w:rsidR="00662965">
        <w:t>conditions</w:t>
      </w:r>
      <w:r w:rsidR="00710BAA">
        <w:t xml:space="preserve">. </w:t>
      </w:r>
    </w:p>
    <w:p w:rsidR="00710BAA" w:rsidRDefault="00710BAA" w:rsidP="00E969FA">
      <w:pPr>
        <w:spacing w:after="0"/>
        <w:rPr>
          <w:rFonts w:ascii="Arial" w:hAnsi="Arial" w:cs="Arial"/>
          <w:b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710BAA" w:rsidRPr="003F534D" w:rsidRDefault="00056519" w:rsidP="00710BAA">
      <w:pPr>
        <w:pStyle w:val="NoSpacing"/>
        <w:rPr>
          <w:rFonts w:ascii="Arial" w:hAnsi="Arial" w:cs="Arial"/>
        </w:rPr>
      </w:pPr>
      <w:r w:rsidRPr="003642EF">
        <w:t>2004: literature review to define 'chronic';</w:t>
      </w:r>
      <w:r w:rsidR="00710BAA">
        <w:t xml:space="preserve"> apply definition to</w:t>
      </w:r>
      <w:r w:rsidR="00710BAA" w:rsidRPr="00710BAA">
        <w:t xml:space="preserve"> </w:t>
      </w:r>
      <w:r w:rsidR="00710BAA">
        <w:t xml:space="preserve">International Classification of Primary Care - Version 2 (ICPC-2), and where necessary, to the Australian </w:t>
      </w:r>
      <w:r w:rsidR="00936747">
        <w:t xml:space="preserve">PLUS </w:t>
      </w:r>
      <w:r w:rsidR="00710BAA">
        <w:t>terminology.</w:t>
      </w:r>
      <w:r w:rsidR="00710BAA" w:rsidRPr="003A4138">
        <w:rPr>
          <w:vertAlign w:val="superscript"/>
        </w:rPr>
        <w:t>1</w:t>
      </w:r>
    </w:p>
    <w:p w:rsidR="003642EF" w:rsidRDefault="00A1111C" w:rsidP="00E969FA">
      <w:pPr>
        <w:spacing w:after="0"/>
      </w:pPr>
      <w:r>
        <w:t>2015–16:</w:t>
      </w:r>
      <w:r w:rsidR="00056519">
        <w:t xml:space="preserve"> Gordon reviewed published list </w:t>
      </w:r>
      <w:r w:rsidR="003642EF">
        <w:t xml:space="preserve">for any </w:t>
      </w:r>
      <w:r w:rsidR="00D17A02">
        <w:t>changes</w:t>
      </w:r>
      <w:r w:rsidR="00936747">
        <w:t xml:space="preserve"> needed</w:t>
      </w:r>
      <w:r w:rsidR="00D17A02">
        <w:t>.</w:t>
      </w:r>
    </w:p>
    <w:p w:rsidR="00936747" w:rsidRDefault="00936747" w:rsidP="00E969FA">
      <w:pPr>
        <w:spacing w:after="0"/>
        <w:rPr>
          <w:rFonts w:ascii="Arial" w:hAnsi="Arial" w:cs="Arial"/>
          <w:b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F1114" w:rsidRDefault="00936747" w:rsidP="003642EF">
      <w:pPr>
        <w:pStyle w:val="NormalWeb"/>
        <w:spacing w:before="0" w:beforeAutospacing="0" w:after="0" w:afterAutospacing="0"/>
      </w:pPr>
      <w:r>
        <w:t>Identified c</w:t>
      </w:r>
      <w:r w:rsidR="00EF1114">
        <w:t>riteria most relevant to defin</w:t>
      </w:r>
      <w:r>
        <w:t>ing</w:t>
      </w:r>
      <w:r w:rsidR="00EF1114">
        <w:t xml:space="preserve"> chronic conditions: </w:t>
      </w:r>
    </w:p>
    <w:p w:rsidR="00EF1114" w:rsidRPr="00EF1114" w:rsidRDefault="00EF1114" w:rsidP="00936747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714" w:hanging="714"/>
      </w:pPr>
      <w:r w:rsidRPr="00EF1114">
        <w:rPr>
          <w:bCs/>
        </w:rPr>
        <w:t>Expected duration at least six months. </w:t>
      </w:r>
    </w:p>
    <w:p w:rsidR="00EF1114" w:rsidRPr="00EF1114" w:rsidRDefault="00EF1114" w:rsidP="00936747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714" w:hanging="714"/>
      </w:pPr>
      <w:r w:rsidRPr="00EF1114">
        <w:rPr>
          <w:bCs/>
        </w:rPr>
        <w:t>Poor prognosis</w:t>
      </w:r>
    </w:p>
    <w:p w:rsidR="00EF1114" w:rsidRPr="00EF1114" w:rsidRDefault="00EF1114" w:rsidP="00936747">
      <w:pPr>
        <w:numPr>
          <w:ilvl w:val="0"/>
          <w:numId w:val="3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14"/>
      </w:pPr>
      <w:r w:rsidRPr="00EF1114">
        <w:rPr>
          <w:bCs/>
        </w:rPr>
        <w:t>Consequences</w:t>
      </w:r>
      <w:r w:rsidR="0004479C">
        <w:rPr>
          <w:bCs/>
        </w:rPr>
        <w:t>/</w:t>
      </w:r>
      <w:r w:rsidRPr="00EF1114">
        <w:rPr>
          <w:bCs/>
        </w:rPr>
        <w:t>sequelae that affect quality of life</w:t>
      </w:r>
    </w:p>
    <w:p w:rsidR="00EF1114" w:rsidRDefault="00EF1114" w:rsidP="00936747">
      <w:pPr>
        <w:numPr>
          <w:ilvl w:val="0"/>
          <w:numId w:val="3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14"/>
      </w:pPr>
      <w:r w:rsidRPr="00EF1114">
        <w:rPr>
          <w:bCs/>
        </w:rPr>
        <w:t>Pattern of recurrence</w:t>
      </w:r>
      <w:r w:rsidR="0004479C">
        <w:rPr>
          <w:bCs/>
        </w:rPr>
        <w:t>/</w:t>
      </w:r>
      <w:r w:rsidRPr="00EF1114">
        <w:rPr>
          <w:bCs/>
        </w:rPr>
        <w:t>deterioration. </w:t>
      </w:r>
      <w:r w:rsidRPr="00EF1114">
        <w:t xml:space="preserve"> </w:t>
      </w:r>
    </w:p>
    <w:p w:rsidR="00E969FA" w:rsidRPr="003F534D" w:rsidRDefault="00EF1114" w:rsidP="001B4541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t xml:space="preserve">127 ICPC-2 rubrics </w:t>
      </w:r>
      <w:r w:rsidR="00710BAA">
        <w:t>were</w:t>
      </w:r>
      <w:r>
        <w:t xml:space="preserve"> ‘chronic’. </w:t>
      </w:r>
      <w:r w:rsidR="00710BAA">
        <w:t>A</w:t>
      </w:r>
      <w:r w:rsidR="00A1111C">
        <w:t>nother</w:t>
      </w:r>
      <w:r w:rsidR="00710BAA">
        <w:t xml:space="preserve"> 20 included </w:t>
      </w:r>
      <w:r>
        <w:t>both chronic and non-chronic</w:t>
      </w:r>
      <w:r w:rsidR="00936747">
        <w:t>—</w:t>
      </w:r>
      <w:r>
        <w:t>we defined chronicity of each condition at terminology level</w:t>
      </w:r>
      <w:r w:rsidR="003642EF">
        <w:t>.</w:t>
      </w:r>
      <w:r>
        <w:t xml:space="preserve"> Duration was criterion most frequently satisf</w:t>
      </w:r>
      <w:r w:rsidR="001B4541">
        <w:t xml:space="preserve">ied (98.4% of chronic rubrics); </w:t>
      </w:r>
      <w:r>
        <w:t>88.2% of rubrics met three</w:t>
      </w:r>
      <w:r w:rsidR="00D17A02">
        <w:t xml:space="preserve"> or </w:t>
      </w:r>
      <w:r>
        <w:t xml:space="preserve">four </w:t>
      </w:r>
      <w:r w:rsidR="003A4138">
        <w:t>criteri</w:t>
      </w:r>
      <w:r w:rsidR="001B4541">
        <w:t>a</w:t>
      </w:r>
      <w:r w:rsidR="003A4138">
        <w:t>.</w:t>
      </w:r>
      <w:r w:rsidR="003A4138" w:rsidRPr="003A4138">
        <w:rPr>
          <w:vertAlign w:val="superscript"/>
        </w:rPr>
        <w:t>1</w:t>
      </w:r>
      <w:r w:rsidR="001B4541">
        <w:rPr>
          <w:vertAlign w:val="superscript"/>
        </w:rPr>
        <w:t xml:space="preserve"> </w:t>
      </w:r>
      <w:r w:rsidR="001B4541">
        <w:t>Gordon found no changes required in 2015-16. F</w:t>
      </w:r>
      <w:r>
        <w:t xml:space="preserve">ull list of conditions classified as chronic according to ICPC-2 available at </w:t>
      </w:r>
      <w:hyperlink r:id="rId8" w:history="1">
        <w:r w:rsidR="00936747" w:rsidRPr="00936747">
          <w:rPr>
            <w:rStyle w:val="Hyperlink"/>
          </w:rPr>
          <w:t>http://sydney.edu.au/medicine/fmrc/publications/appendices/DefiningChronicConditions.pdf</w:t>
        </w:r>
      </w:hyperlink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F1114" w:rsidRDefault="00EF1114" w:rsidP="00EF1114">
      <w:pPr>
        <w:pStyle w:val="NormalWeb"/>
      </w:pPr>
      <w:r>
        <w:t>Th</w:t>
      </w:r>
      <w:r w:rsidR="00B94B32">
        <w:t xml:space="preserve">e list </w:t>
      </w:r>
      <w:r>
        <w:t xml:space="preserve"> is not exhaustive</w:t>
      </w:r>
      <w:r w:rsidR="00B94B32">
        <w:t>; c</w:t>
      </w:r>
      <w:r>
        <w:t xml:space="preserve">linical judgement is vital </w:t>
      </w:r>
      <w:r w:rsidR="003642EF">
        <w:t>in individual assessment.</w:t>
      </w:r>
      <w:r>
        <w:t xml:space="preserve"> </w:t>
      </w:r>
      <w:r w:rsidR="00A1111C">
        <w:t>However,</w:t>
      </w:r>
      <w:r w:rsidR="00662965">
        <w:t xml:space="preserve"> it </w:t>
      </w:r>
      <w:r w:rsidR="00D17A02">
        <w:t xml:space="preserve">may </w:t>
      </w:r>
      <w:r>
        <w:t xml:space="preserve">broaden </w:t>
      </w:r>
      <w:r w:rsidR="00662965">
        <w:t xml:space="preserve">GPs </w:t>
      </w:r>
      <w:r w:rsidR="00710BAA">
        <w:t>ideas about '</w:t>
      </w:r>
      <w:r>
        <w:t>chronic condition</w:t>
      </w:r>
      <w:r w:rsidR="00710BAA">
        <w:t>s'</w:t>
      </w:r>
      <w:bookmarkStart w:id="0" w:name="_GoBack"/>
      <w:bookmarkEnd w:id="0"/>
      <w:r>
        <w:t xml:space="preserve"> for CDM items or Health Care Homes</w:t>
      </w:r>
      <w:r w:rsidR="00A1111C">
        <w:t>, and</w:t>
      </w:r>
      <w:r w:rsidR="00936747">
        <w:t xml:space="preserve"> </w:t>
      </w:r>
      <w:r w:rsidR="003642EF">
        <w:t xml:space="preserve">invaluable to researchers analysing large patient databases or </w:t>
      </w:r>
      <w:r w:rsidR="00662965">
        <w:t xml:space="preserve">EHR </w:t>
      </w:r>
      <w:r w:rsidR="003642EF">
        <w:t>data.</w:t>
      </w:r>
      <w:r w:rsidR="003A4138" w:rsidRPr="003A4138">
        <w:rPr>
          <w:vertAlign w:val="superscript"/>
        </w:rPr>
        <w:t>2</w:t>
      </w:r>
    </w:p>
    <w:p w:rsidR="003A4138" w:rsidRDefault="00E969FA" w:rsidP="003A4138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References</w:t>
      </w:r>
    </w:p>
    <w:p w:rsidR="003A4138" w:rsidRPr="00936747" w:rsidRDefault="003A4138" w:rsidP="003A41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3674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1. O'Halloran J, Miller GC, Britt H. Defining chronic conditions for primary care with ICPC-2. Fam Pract 2004;21(4):381–86. </w:t>
      </w:r>
    </w:p>
    <w:p w:rsidR="003A4138" w:rsidRDefault="003A41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3674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2. Gordon J,  Miller GC, Britt H. What are chronic conditions that contribute to multimorbidity? AJGP 2018;47, (1-2). </w:t>
      </w:r>
    </w:p>
    <w:p w:rsidR="0071464F" w:rsidRPr="00F12827" w:rsidRDefault="0071464F">
      <w:pPr>
        <w:spacing w:after="0"/>
        <w:rPr>
          <w:rFonts w:cs="Arial"/>
        </w:rPr>
      </w:pPr>
    </w:p>
    <w:sectPr w:rsidR="0071464F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25F" w:rsidRDefault="00AE625F" w:rsidP="00DB6276">
      <w:pPr>
        <w:spacing w:after="0" w:line="240" w:lineRule="auto"/>
      </w:pPr>
      <w:r>
        <w:separator/>
      </w:r>
    </w:p>
  </w:endnote>
  <w:endnote w:type="continuationSeparator" w:id="0">
    <w:p w:rsidR="00AE625F" w:rsidRDefault="00AE625F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25F" w:rsidRDefault="00AE625F" w:rsidP="00DB6276">
      <w:pPr>
        <w:spacing w:after="0" w:line="240" w:lineRule="auto"/>
      </w:pPr>
      <w:r>
        <w:separator/>
      </w:r>
    </w:p>
  </w:footnote>
  <w:footnote w:type="continuationSeparator" w:id="0">
    <w:p w:rsidR="00AE625F" w:rsidRDefault="00AE625F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57BAF"/>
    <w:multiLevelType w:val="multilevel"/>
    <w:tmpl w:val="99EE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74C5"/>
    <w:multiLevelType w:val="multilevel"/>
    <w:tmpl w:val="D7A8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76DBC"/>
    <w:multiLevelType w:val="multilevel"/>
    <w:tmpl w:val="1526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27"/>
  </w:num>
  <w:num w:numId="5">
    <w:abstractNumId w:val="14"/>
  </w:num>
  <w:num w:numId="6">
    <w:abstractNumId w:val="25"/>
  </w:num>
  <w:num w:numId="7">
    <w:abstractNumId w:val="8"/>
  </w:num>
  <w:num w:numId="8">
    <w:abstractNumId w:val="15"/>
  </w:num>
  <w:num w:numId="9">
    <w:abstractNumId w:val="7"/>
  </w:num>
  <w:num w:numId="10">
    <w:abstractNumId w:val="24"/>
  </w:num>
  <w:num w:numId="11">
    <w:abstractNumId w:val="17"/>
  </w:num>
  <w:num w:numId="12">
    <w:abstractNumId w:val="5"/>
  </w:num>
  <w:num w:numId="13">
    <w:abstractNumId w:val="0"/>
  </w:num>
  <w:num w:numId="14">
    <w:abstractNumId w:val="26"/>
  </w:num>
  <w:num w:numId="15">
    <w:abstractNumId w:val="1"/>
  </w:num>
  <w:num w:numId="16">
    <w:abstractNumId w:val="19"/>
  </w:num>
  <w:num w:numId="17">
    <w:abstractNumId w:val="3"/>
  </w:num>
  <w:num w:numId="18">
    <w:abstractNumId w:val="23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21"/>
  </w:num>
  <w:num w:numId="23">
    <w:abstractNumId w:val="22"/>
  </w:num>
  <w:num w:numId="24">
    <w:abstractNumId w:val="13"/>
  </w:num>
  <w:num w:numId="25">
    <w:abstractNumId w:val="28"/>
  </w:num>
  <w:num w:numId="26">
    <w:abstractNumId w:val="29"/>
  </w:num>
  <w:num w:numId="27">
    <w:abstractNumId w:val="2"/>
  </w:num>
  <w:num w:numId="28">
    <w:abstractNumId w:val="11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6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e Gordon">
    <w15:presenceInfo w15:providerId="AD" w15:userId="S-1-5-21-653478955-3067283134-999092648-479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87FF6"/>
    <w:rsid w:val="0000578B"/>
    <w:rsid w:val="0004479C"/>
    <w:rsid w:val="000530F3"/>
    <w:rsid w:val="00056519"/>
    <w:rsid w:val="0006205D"/>
    <w:rsid w:val="00065794"/>
    <w:rsid w:val="0009481D"/>
    <w:rsid w:val="000951B7"/>
    <w:rsid w:val="000A005C"/>
    <w:rsid w:val="000D1EB3"/>
    <w:rsid w:val="001A0E12"/>
    <w:rsid w:val="001A7273"/>
    <w:rsid w:val="001B4541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642EF"/>
    <w:rsid w:val="0037377D"/>
    <w:rsid w:val="003A4138"/>
    <w:rsid w:val="003A5C47"/>
    <w:rsid w:val="003B56C9"/>
    <w:rsid w:val="003C0B6D"/>
    <w:rsid w:val="003C0F3C"/>
    <w:rsid w:val="003D665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02522"/>
    <w:rsid w:val="006150A8"/>
    <w:rsid w:val="00634A5F"/>
    <w:rsid w:val="00662965"/>
    <w:rsid w:val="00687FF6"/>
    <w:rsid w:val="006C013A"/>
    <w:rsid w:val="006D10CF"/>
    <w:rsid w:val="006E5BD4"/>
    <w:rsid w:val="00710BAA"/>
    <w:rsid w:val="0071464F"/>
    <w:rsid w:val="007340C2"/>
    <w:rsid w:val="007A3219"/>
    <w:rsid w:val="007A4975"/>
    <w:rsid w:val="008426B4"/>
    <w:rsid w:val="00866BFD"/>
    <w:rsid w:val="008A6431"/>
    <w:rsid w:val="008D7BF0"/>
    <w:rsid w:val="00936747"/>
    <w:rsid w:val="00937FEB"/>
    <w:rsid w:val="0098351A"/>
    <w:rsid w:val="00984CE1"/>
    <w:rsid w:val="00995919"/>
    <w:rsid w:val="009C7760"/>
    <w:rsid w:val="00A06D50"/>
    <w:rsid w:val="00A1111C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AE625F"/>
    <w:rsid w:val="00B03208"/>
    <w:rsid w:val="00B12D26"/>
    <w:rsid w:val="00B150CE"/>
    <w:rsid w:val="00B20279"/>
    <w:rsid w:val="00B50994"/>
    <w:rsid w:val="00B730A7"/>
    <w:rsid w:val="00B94B32"/>
    <w:rsid w:val="00BD3208"/>
    <w:rsid w:val="00BD72AD"/>
    <w:rsid w:val="00C218BD"/>
    <w:rsid w:val="00C236F1"/>
    <w:rsid w:val="00C3505E"/>
    <w:rsid w:val="00C4224F"/>
    <w:rsid w:val="00C426BE"/>
    <w:rsid w:val="00C86CAF"/>
    <w:rsid w:val="00CA4098"/>
    <w:rsid w:val="00D17A02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EF1114"/>
    <w:rsid w:val="00F12827"/>
    <w:rsid w:val="00F21792"/>
    <w:rsid w:val="00F71153"/>
    <w:rsid w:val="00F75019"/>
    <w:rsid w:val="00F76172"/>
    <w:rsid w:val="00FA1A9A"/>
    <w:rsid w:val="00FA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F1"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dney.edu.au/medicine/fmrc/publications/appendices/DefiningChronicConditions.pdf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3E76C-765F-4A0C-8017-91DBAF4F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Helena</cp:lastModifiedBy>
  <cp:revision>3</cp:revision>
  <dcterms:created xsi:type="dcterms:W3CDTF">2018-02-12T04:58:00Z</dcterms:created>
  <dcterms:modified xsi:type="dcterms:W3CDTF">2018-02-12T04:59:00Z</dcterms:modified>
</cp:coreProperties>
</file>