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114E05DC" w:rsidR="00A85881" w:rsidRPr="009369E9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69E9">
        <w:rPr>
          <w:rFonts w:ascii="Arial" w:hAnsi="Arial" w:cs="Arial"/>
          <w:b/>
          <w:sz w:val="20"/>
          <w:szCs w:val="20"/>
        </w:rPr>
        <w:t>Presentation title</w:t>
      </w:r>
    </w:p>
    <w:p w14:paraId="3C8F629A" w14:textId="77777777" w:rsidR="00DD4860" w:rsidRPr="00DD4860" w:rsidRDefault="00DD4860" w:rsidP="00DD4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8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COVID-19 Lockdown Policies: Their Impact on a Remote Australian Aboriginal Community</w:t>
      </w:r>
    </w:p>
    <w:p w14:paraId="02B9E02C" w14:textId="5FA68DC3" w:rsidR="27686057" w:rsidRPr="009369E9" w:rsidRDefault="2768605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Pr="009369E9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69E9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9369E9">
        <w:rPr>
          <w:rFonts w:ascii="Arial" w:hAnsi="Arial" w:cs="Arial"/>
          <w:b/>
          <w:bCs/>
          <w:sz w:val="20"/>
          <w:szCs w:val="20"/>
        </w:rPr>
        <w:t>, important</w:t>
      </w:r>
      <w:r w:rsidRPr="009369E9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427F7BF2" w14:textId="0A565C49" w:rsidR="009B5608" w:rsidRPr="009B5608" w:rsidRDefault="009B5608" w:rsidP="009B56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369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Pr="009B56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his paper explores how restrictions during the first COVID-19 pandemic lockdown</w:t>
      </w:r>
      <w:r w:rsidR="00040A3D" w:rsidRPr="009369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created</w:t>
      </w:r>
      <w:r w:rsidRPr="009B56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40A3D" w:rsidRPr="009369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unintended </w:t>
      </w:r>
      <w:r w:rsidRPr="009B56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health consequences, through analysis of changes in presentations to </w:t>
      </w:r>
      <w:r w:rsidR="00040A3D" w:rsidRPr="009369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local healthcare services </w:t>
      </w:r>
      <w:r w:rsidRPr="009369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 a predominantly </w:t>
      </w:r>
      <w:r w:rsidRPr="009B56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Aboriginal Community, Australia.</w:t>
      </w:r>
      <w:r w:rsidRPr="009369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79DCAA7F" w14:textId="77777777" w:rsidR="005F00CA" w:rsidRPr="009369E9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Pr="009369E9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69E9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62AAAD45" w14:textId="18C58521" w:rsidR="00040A3D" w:rsidRPr="009369E9" w:rsidRDefault="00040A3D" w:rsidP="00040A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69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Results indicate increased incidence of dental infection and domestic violence, results that align with studies from other areas of Australia</w:t>
      </w:r>
    </w:p>
    <w:p w14:paraId="537F7A93" w14:textId="78E73CCF" w:rsidR="007E2E38" w:rsidRPr="009369E9" w:rsidRDefault="007E2E38" w:rsidP="00040A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69E9">
        <w:rPr>
          <w:rFonts w:ascii="Arial" w:eastAsia="Times New Roman" w:hAnsi="Arial" w:cs="Arial"/>
          <w:sz w:val="20"/>
          <w:szCs w:val="20"/>
          <w:lang w:eastAsia="en-GB"/>
        </w:rPr>
        <w:t>U</w:t>
      </w:r>
      <w:r w:rsidRPr="009369E9">
        <w:rPr>
          <w:rFonts w:ascii="Arial" w:eastAsia="Times New Roman" w:hAnsi="Arial" w:cs="Arial"/>
          <w:sz w:val="20"/>
          <w:szCs w:val="20"/>
          <w:lang w:eastAsia="en-GB"/>
        </w:rPr>
        <w:t>nintended ramifications to well-meaning health policies reveal the complexity of applying a ‘one size fits all’ policy to a Nation that has such a rich and varied cultural fabric as Australia</w:t>
      </w:r>
    </w:p>
    <w:p w14:paraId="3C6C287C" w14:textId="568C0CF0" w:rsidR="007E2E38" w:rsidRPr="009369E9" w:rsidRDefault="007E2E38" w:rsidP="00040A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69E9">
        <w:rPr>
          <w:rFonts w:ascii="Arial" w:eastAsia="Times New Roman" w:hAnsi="Arial" w:cs="Arial"/>
          <w:sz w:val="20"/>
          <w:szCs w:val="20"/>
          <w:lang w:eastAsia="en-GB"/>
        </w:rPr>
        <w:t>As</w:t>
      </w:r>
      <w:r w:rsidRPr="009369E9">
        <w:rPr>
          <w:rFonts w:ascii="Arial" w:eastAsia="Times New Roman" w:hAnsi="Arial" w:cs="Arial"/>
          <w:sz w:val="20"/>
          <w:szCs w:val="20"/>
          <w:lang w:eastAsia="en-GB"/>
        </w:rPr>
        <w:t xml:space="preserve"> known contributors to health inequalities between population groups</w:t>
      </w:r>
      <w:r w:rsidRPr="009369E9">
        <w:rPr>
          <w:rFonts w:ascii="Arial" w:eastAsia="Times New Roman" w:hAnsi="Arial" w:cs="Arial"/>
          <w:sz w:val="20"/>
          <w:szCs w:val="20"/>
          <w:lang w:eastAsia="en-GB"/>
        </w:rPr>
        <w:t xml:space="preserve">, social determinants of health </w:t>
      </w:r>
      <w:r w:rsidRPr="009369E9">
        <w:rPr>
          <w:rFonts w:ascii="Arial" w:eastAsia="Times New Roman" w:hAnsi="Arial" w:cs="Arial"/>
          <w:sz w:val="20"/>
          <w:szCs w:val="20"/>
          <w:lang w:eastAsia="en-GB"/>
        </w:rPr>
        <w:t>should always be a key consideration in the application of health policies across different populations</w:t>
      </w:r>
      <w:r w:rsidR="00FA3B17">
        <w:rPr>
          <w:rFonts w:ascii="Arial" w:eastAsia="Times New Roman" w:hAnsi="Arial" w:cs="Arial"/>
          <w:sz w:val="20"/>
          <w:szCs w:val="20"/>
          <w:lang w:eastAsia="en-GB"/>
        </w:rPr>
        <w:fldChar w:fldCharType="begin"/>
      </w:r>
      <w:r w:rsidR="00FA3B17">
        <w:rPr>
          <w:rFonts w:ascii="Arial" w:eastAsia="Times New Roman" w:hAnsi="Arial" w:cs="Arial"/>
          <w:sz w:val="20"/>
          <w:szCs w:val="20"/>
          <w:lang w:eastAsia="en-GB"/>
        </w:rPr>
        <w:instrText xml:space="preserve"> ADDIN EN.CITE &lt;EndNote&gt;&lt;Cite&gt;&lt;Author&gt;Australian Institute of Health and Welfare&lt;/Author&gt;&lt;Year&gt;2020&lt;/Year&gt;&lt;RecNum&gt;64&lt;/RecNum&gt;&lt;DisplayText&gt;&lt;style face="superscript"&gt;1&lt;/style&gt;&lt;/DisplayText&gt;&lt;record&gt;&lt;rec-number&gt;64&lt;/rec-number&gt;&lt;foreign-keys&gt;&lt;key app="EN" db-id="wprx5ef2a9wvwrevf0jxavti2vfa005d0ppv" timestamp="1629116330"&gt;64&lt;/key&gt;&lt;/foreign-keys&gt;&lt;ref-type name="Report"&gt;27&lt;/ref-type&gt;&lt;contributors&gt;&lt;authors&gt;&lt;author&gt;Australian Institute of Health and Welfare,&lt;/author&gt;&lt;/authors&gt;&lt;/contributors&gt;&lt;titles&gt;&lt;title&gt;Australia’s health 2020: data insights&lt;/title&gt;&lt;/titles&gt;&lt;dates&gt;&lt;year&gt;2020&lt;/year&gt;&lt;/dates&gt;&lt;pub-location&gt;Canberra&lt;/pub-location&gt;&lt;publisher&gt;AIHW&lt;/publisher&gt;&lt;urls&gt;&lt;related-urls&gt;&lt;url&gt;https://www.aihw.gov.au/reports/australias-health/australias-health-2020-data-insights&lt;/url&gt;&lt;/related-urls&gt;&lt;/urls&gt;&lt;electronic-resource-num&gt;10.25816/5f05371c539f3&lt;/electronic-resource-num&gt;&lt;/record&gt;&lt;/Cite&gt;&lt;/EndNote&gt;</w:instrText>
      </w:r>
      <w:r w:rsidR="00FA3B17">
        <w:rPr>
          <w:rFonts w:ascii="Arial" w:eastAsia="Times New Roman" w:hAnsi="Arial" w:cs="Arial"/>
          <w:sz w:val="20"/>
          <w:szCs w:val="20"/>
          <w:lang w:eastAsia="en-GB"/>
        </w:rPr>
        <w:fldChar w:fldCharType="separate"/>
      </w:r>
      <w:r w:rsidR="00FA3B17" w:rsidRPr="00FA3B17">
        <w:rPr>
          <w:rFonts w:ascii="Arial" w:eastAsia="Times New Roman" w:hAnsi="Arial" w:cs="Arial"/>
          <w:noProof/>
          <w:sz w:val="20"/>
          <w:szCs w:val="20"/>
          <w:vertAlign w:val="superscript"/>
          <w:lang w:eastAsia="en-GB"/>
        </w:rPr>
        <w:t>1</w:t>
      </w:r>
      <w:r w:rsidR="00FA3B17">
        <w:rPr>
          <w:rFonts w:ascii="Arial" w:eastAsia="Times New Roman" w:hAnsi="Arial" w:cs="Arial"/>
          <w:sz w:val="20"/>
          <w:szCs w:val="20"/>
          <w:lang w:eastAsia="en-GB"/>
        </w:rPr>
        <w:fldChar w:fldCharType="end"/>
      </w:r>
    </w:p>
    <w:p w14:paraId="217545D1" w14:textId="77777777" w:rsidR="006F007C" w:rsidRPr="009369E9" w:rsidRDefault="006F007C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9369E9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69E9">
        <w:rPr>
          <w:rFonts w:ascii="Arial" w:hAnsi="Arial" w:cs="Arial"/>
          <w:b/>
          <w:sz w:val="20"/>
          <w:szCs w:val="20"/>
        </w:rPr>
        <w:t>Background</w:t>
      </w:r>
    </w:p>
    <w:p w14:paraId="67F3FD62" w14:textId="3F10955A" w:rsidR="00D273AA" w:rsidRPr="009369E9" w:rsidRDefault="008D2CB0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9E9">
        <w:rPr>
          <w:rFonts w:ascii="Arial" w:hAnsi="Arial" w:cs="Arial"/>
          <w:sz w:val="20"/>
          <w:szCs w:val="20"/>
        </w:rPr>
        <w:t>Th</w:t>
      </w:r>
      <w:r w:rsidR="007E2E38" w:rsidRPr="009369E9">
        <w:rPr>
          <w:rFonts w:ascii="Arial" w:hAnsi="Arial" w:cs="Arial"/>
          <w:sz w:val="20"/>
          <w:szCs w:val="20"/>
        </w:rPr>
        <w:t xml:space="preserve">e </w:t>
      </w:r>
      <w:r w:rsidR="00BE60F9" w:rsidRPr="009369E9">
        <w:rPr>
          <w:rFonts w:ascii="Arial" w:hAnsi="Arial" w:cs="Arial"/>
          <w:sz w:val="20"/>
          <w:szCs w:val="20"/>
        </w:rPr>
        <w:t>enactment of</w:t>
      </w:r>
      <w:r w:rsidR="007E2E38" w:rsidRPr="009369E9">
        <w:rPr>
          <w:rFonts w:ascii="Arial" w:hAnsi="Arial" w:cs="Arial"/>
          <w:sz w:val="20"/>
          <w:szCs w:val="20"/>
        </w:rPr>
        <w:t xml:space="preserve"> the </w:t>
      </w:r>
      <w:r w:rsidR="007E2E38" w:rsidRPr="009369E9">
        <w:rPr>
          <w:rFonts w:ascii="Arial" w:eastAsia="Times New Roman" w:hAnsi="Arial" w:cs="Arial"/>
          <w:sz w:val="20"/>
          <w:szCs w:val="20"/>
          <w:lang w:eastAsia="en-GB"/>
        </w:rPr>
        <w:t>Emergency Requirements for Remote Communities Determination</w:t>
      </w:r>
      <w:r w:rsidR="00FF5173">
        <w:rPr>
          <w:rFonts w:ascii="Arial" w:eastAsia="Times New Roman" w:hAnsi="Arial" w:cs="Arial"/>
          <w:sz w:val="20"/>
          <w:szCs w:val="20"/>
          <w:lang w:eastAsia="en-GB"/>
        </w:rPr>
        <w:fldChar w:fldCharType="begin"/>
      </w:r>
      <w:r w:rsidR="00FF5173">
        <w:rPr>
          <w:rFonts w:ascii="Arial" w:eastAsia="Times New Roman" w:hAnsi="Arial" w:cs="Arial"/>
          <w:sz w:val="20"/>
          <w:szCs w:val="20"/>
          <w:lang w:eastAsia="en-GB"/>
        </w:rPr>
        <w:instrText xml:space="preserve"> ADDIN EN.CITE &lt;EndNote&gt;&lt;Cite&gt;&lt;Year&gt;2020&lt;/Year&gt;&lt;RecNum&gt;74&lt;/RecNum&gt;&lt;DisplayText&gt;&lt;style face="superscript"&gt;2&lt;/style&gt;&lt;/DisplayText&gt;&lt;record&gt;&lt;rec-number&gt;74&lt;/rec-number&gt;&lt;foreign-keys&gt;&lt;key app="EN" db-id="wprx5ef2a9wvwrevf0jxavti2vfa005d0ppv" timestamp="1652180141"&gt;74&lt;/key&gt;&lt;/foreign-keys&gt;&lt;ref-type name="Legal Rule or Regulation"&gt;50&lt;/ref-type&gt;&lt;contributors&gt;&lt;/contributors&gt;&lt;titles&gt;&lt;title&gt;Biosecurity (Human Biosecurity Emergency) (Human Coronavirus with Pandemic Potential) (Emergency Requirements for Remote Communities) Determination 2020&lt;/title&gt;&lt;/titles&gt;&lt;pages&gt;3-5&lt;/pages&gt;&lt;dates&gt;&lt;year&gt;2020&lt;/year&gt;&lt;/dates&gt;&lt;urls&gt;&lt;/urls&gt;&lt;/record&gt;&lt;/Cite&gt;&lt;/EndNote&gt;</w:instrText>
      </w:r>
      <w:r w:rsidR="00FF5173">
        <w:rPr>
          <w:rFonts w:ascii="Arial" w:eastAsia="Times New Roman" w:hAnsi="Arial" w:cs="Arial"/>
          <w:sz w:val="20"/>
          <w:szCs w:val="20"/>
          <w:lang w:eastAsia="en-GB"/>
        </w:rPr>
        <w:fldChar w:fldCharType="separate"/>
      </w:r>
      <w:r w:rsidR="00FF5173" w:rsidRPr="00FF5173">
        <w:rPr>
          <w:rFonts w:ascii="Arial" w:eastAsia="Times New Roman" w:hAnsi="Arial" w:cs="Arial"/>
          <w:noProof/>
          <w:sz w:val="20"/>
          <w:szCs w:val="20"/>
          <w:vertAlign w:val="superscript"/>
          <w:lang w:eastAsia="en-GB"/>
        </w:rPr>
        <w:t>2</w:t>
      </w:r>
      <w:r w:rsidR="00FF5173">
        <w:rPr>
          <w:rFonts w:ascii="Arial" w:eastAsia="Times New Roman" w:hAnsi="Arial" w:cs="Arial"/>
          <w:sz w:val="20"/>
          <w:szCs w:val="20"/>
          <w:lang w:eastAsia="en-GB"/>
        </w:rPr>
        <w:fldChar w:fldCharType="end"/>
      </w:r>
      <w:r w:rsidRPr="009369E9">
        <w:rPr>
          <w:rFonts w:ascii="Arial" w:eastAsia="Times New Roman" w:hAnsi="Arial" w:cs="Arial"/>
          <w:sz w:val="20"/>
          <w:szCs w:val="20"/>
          <w:lang w:eastAsia="en-GB"/>
        </w:rPr>
        <w:t xml:space="preserve"> in March 2020 </w:t>
      </w:r>
      <w:r w:rsidR="007E2E38" w:rsidRPr="009369E9">
        <w:rPr>
          <w:rFonts w:ascii="Arial" w:eastAsia="Times New Roman" w:hAnsi="Arial" w:cs="Arial"/>
          <w:sz w:val="20"/>
          <w:szCs w:val="20"/>
          <w:lang w:eastAsia="en-GB"/>
        </w:rPr>
        <w:t>restricted movement in and out of remote Aboriginal Communities.</w:t>
      </w:r>
      <w:r w:rsidR="00C65486" w:rsidRPr="009369E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E60F9" w:rsidRPr="009369E9">
        <w:rPr>
          <w:rFonts w:ascii="Arial" w:eastAsia="Times New Roman" w:hAnsi="Arial" w:cs="Arial"/>
          <w:sz w:val="20"/>
          <w:szCs w:val="20"/>
          <w:lang w:eastAsia="en-GB"/>
        </w:rPr>
        <w:t xml:space="preserve">This included healthcare personnel across medical, </w:t>
      </w:r>
      <w:proofErr w:type="gramStart"/>
      <w:r w:rsidR="00BE60F9" w:rsidRPr="009369E9">
        <w:rPr>
          <w:rFonts w:ascii="Arial" w:eastAsia="Times New Roman" w:hAnsi="Arial" w:cs="Arial"/>
          <w:sz w:val="20"/>
          <w:szCs w:val="20"/>
          <w:lang w:eastAsia="en-GB"/>
        </w:rPr>
        <w:t>dental</w:t>
      </w:r>
      <w:proofErr w:type="gramEnd"/>
      <w:r w:rsidR="00BE60F9" w:rsidRPr="009369E9">
        <w:rPr>
          <w:rFonts w:ascii="Arial" w:eastAsia="Times New Roman" w:hAnsi="Arial" w:cs="Arial"/>
          <w:sz w:val="20"/>
          <w:szCs w:val="20"/>
          <w:lang w:eastAsia="en-GB"/>
        </w:rPr>
        <w:t xml:space="preserve"> and allied health streams. The shutdown of services in remote communities subsequently led to unintended health consequences.  </w:t>
      </w:r>
    </w:p>
    <w:p w14:paraId="586580C3" w14:textId="4EAB9BCB" w:rsidR="00B76E82" w:rsidRPr="009369E9" w:rsidRDefault="00B76E8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F079F16" w:rsidR="00B76E82" w:rsidRPr="009369E9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69E9">
        <w:rPr>
          <w:rFonts w:ascii="Arial" w:hAnsi="Arial" w:cs="Arial"/>
          <w:b/>
          <w:bCs/>
          <w:sz w:val="20"/>
          <w:szCs w:val="20"/>
        </w:rPr>
        <w:t>Aim/Hypothesis</w:t>
      </w:r>
    </w:p>
    <w:p w14:paraId="35AE85BE" w14:textId="41C9BF75" w:rsidR="009B5608" w:rsidRPr="009B5608" w:rsidRDefault="009B5608" w:rsidP="009B56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B56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examine the impact of COVID-19 lockdown policies on the health presentations in </w:t>
      </w:r>
      <w:r w:rsidR="0087647E" w:rsidRPr="009369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remote</w:t>
      </w:r>
      <w:r w:rsidRPr="009B560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predominantly Aboriginal Australian community. </w:t>
      </w:r>
    </w:p>
    <w:p w14:paraId="03F599AF" w14:textId="77777777" w:rsidR="00D273AA" w:rsidRPr="009369E9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9369E9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69E9">
        <w:rPr>
          <w:rFonts w:ascii="Arial" w:hAnsi="Arial" w:cs="Arial"/>
          <w:b/>
          <w:sz w:val="20"/>
          <w:szCs w:val="20"/>
        </w:rPr>
        <w:t>Method</w:t>
      </w:r>
    </w:p>
    <w:p w14:paraId="55F6E9B4" w14:textId="546C8D88" w:rsidR="00D273AA" w:rsidRPr="009369E9" w:rsidRDefault="003E05A9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9E9">
        <w:rPr>
          <w:rFonts w:ascii="Arial" w:hAnsi="Arial" w:cs="Arial"/>
          <w:sz w:val="20"/>
          <w:szCs w:val="20"/>
        </w:rPr>
        <w:t xml:space="preserve">Retrospective cross-sectional </w:t>
      </w:r>
      <w:proofErr w:type="gramStart"/>
      <w:r w:rsidRPr="009369E9">
        <w:rPr>
          <w:rFonts w:ascii="Arial" w:hAnsi="Arial" w:cs="Arial"/>
          <w:sz w:val="20"/>
          <w:szCs w:val="20"/>
        </w:rPr>
        <w:t>study;</w:t>
      </w:r>
      <w:proofErr w:type="gramEnd"/>
      <w:r w:rsidRPr="009369E9">
        <w:rPr>
          <w:rFonts w:ascii="Arial" w:hAnsi="Arial" w:cs="Arial"/>
          <w:sz w:val="20"/>
          <w:szCs w:val="20"/>
        </w:rPr>
        <w:t xml:space="preserve"> data codes of various presentations to a healthcare service over two 3-month periods in 2019 and 2020 were compared to assess for changes across the two periods. </w:t>
      </w:r>
    </w:p>
    <w:p w14:paraId="7FC7CF40" w14:textId="1825C73D" w:rsidR="005F00CA" w:rsidRPr="009369E9" w:rsidRDefault="005F00CA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9369E9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69E9">
        <w:rPr>
          <w:rFonts w:ascii="Arial" w:hAnsi="Arial" w:cs="Arial"/>
          <w:b/>
          <w:bCs/>
          <w:sz w:val="20"/>
          <w:szCs w:val="20"/>
        </w:rPr>
        <w:t>Results</w:t>
      </w:r>
    </w:p>
    <w:p w14:paraId="4A041CBC" w14:textId="21DA4FF7" w:rsidR="005F00CA" w:rsidRPr="009369E9" w:rsidRDefault="003E05A9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9E9">
        <w:rPr>
          <w:rFonts w:ascii="Arial" w:hAnsi="Arial" w:cs="Arial"/>
          <w:sz w:val="20"/>
          <w:szCs w:val="20"/>
        </w:rPr>
        <w:t xml:space="preserve">Increased incidence of dental infections and domestic violence. Decreased incidence of respiratory presentations.  </w:t>
      </w:r>
    </w:p>
    <w:p w14:paraId="79FABA3C" w14:textId="77777777" w:rsidR="00D273AA" w:rsidRPr="009369E9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9369E9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69E9">
        <w:rPr>
          <w:rFonts w:ascii="Arial" w:hAnsi="Arial" w:cs="Arial"/>
          <w:b/>
          <w:sz w:val="20"/>
          <w:szCs w:val="20"/>
        </w:rPr>
        <w:t>Discussion</w:t>
      </w:r>
    </w:p>
    <w:p w14:paraId="7F0B4CDA" w14:textId="15B0396B" w:rsidR="001D1FD3" w:rsidRPr="009369E9" w:rsidRDefault="001D1FD3" w:rsidP="001D1FD3">
      <w:p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9369E9">
        <w:rPr>
          <w:rFonts w:ascii="Arial" w:hAnsi="Arial" w:cs="Arial"/>
          <w:sz w:val="20"/>
          <w:szCs w:val="20"/>
        </w:rPr>
        <w:t xml:space="preserve">Whilst a cross-sectional study of </w:t>
      </w:r>
      <w:r w:rsidR="008D2CB0" w:rsidRPr="009369E9">
        <w:rPr>
          <w:rFonts w:ascii="Arial" w:hAnsi="Arial" w:cs="Arial"/>
          <w:sz w:val="20"/>
          <w:szCs w:val="20"/>
        </w:rPr>
        <w:t>one</w:t>
      </w:r>
      <w:r w:rsidRPr="009369E9">
        <w:rPr>
          <w:rFonts w:ascii="Arial" w:hAnsi="Arial" w:cs="Arial"/>
          <w:sz w:val="20"/>
          <w:szCs w:val="20"/>
        </w:rPr>
        <w:t xml:space="preserve"> community, </w:t>
      </w:r>
      <w:r w:rsidRPr="009369E9">
        <w:rPr>
          <w:rFonts w:ascii="Arial" w:eastAsia="Times New Roman" w:hAnsi="Arial" w:cs="Arial"/>
          <w:sz w:val="20"/>
          <w:szCs w:val="20"/>
          <w:lang w:eastAsia="en-GB"/>
        </w:rPr>
        <w:t>c</w:t>
      </w:r>
      <w:r w:rsidRPr="009369E9">
        <w:rPr>
          <w:rFonts w:ascii="Arial" w:eastAsia="Times New Roman" w:hAnsi="Arial" w:cs="Arial"/>
          <w:sz w:val="20"/>
          <w:szCs w:val="20"/>
          <w:lang w:eastAsia="en-GB"/>
        </w:rPr>
        <w:t xml:space="preserve">omparison of incidence of illness </w:t>
      </w:r>
      <w:r w:rsidR="008D2CB0" w:rsidRPr="009369E9">
        <w:rPr>
          <w:rFonts w:ascii="Arial" w:eastAsia="Times New Roman" w:hAnsi="Arial" w:cs="Arial"/>
          <w:sz w:val="20"/>
          <w:szCs w:val="20"/>
          <w:lang w:eastAsia="en-GB"/>
        </w:rPr>
        <w:t>presentations ove</w:t>
      </w:r>
      <w:r w:rsidRPr="009369E9">
        <w:rPr>
          <w:rFonts w:ascii="Arial" w:eastAsia="Times New Roman" w:hAnsi="Arial" w:cs="Arial"/>
          <w:sz w:val="20"/>
          <w:szCs w:val="20"/>
          <w:lang w:eastAsia="en-GB"/>
        </w:rPr>
        <w:t>r 2019 and 2020 in other remote communities may reveal further trends that expand upon the findings in this study.</w:t>
      </w:r>
    </w:p>
    <w:p w14:paraId="03E98B06" w14:textId="1B398024" w:rsidR="005F00CA" w:rsidRPr="009369E9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69E9">
        <w:rPr>
          <w:rFonts w:ascii="Arial" w:hAnsi="Arial" w:cs="Arial"/>
          <w:b/>
          <w:bCs/>
          <w:sz w:val="20"/>
          <w:szCs w:val="20"/>
        </w:rPr>
        <w:t>Conclusion</w:t>
      </w:r>
    </w:p>
    <w:p w14:paraId="5F3949EB" w14:textId="447B0A2A" w:rsidR="00021A18" w:rsidRPr="009369E9" w:rsidRDefault="001D1FD3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9E9">
        <w:rPr>
          <w:rFonts w:ascii="Arial" w:eastAsia="Times New Roman" w:hAnsi="Arial" w:cs="Arial"/>
          <w:sz w:val="20"/>
          <w:szCs w:val="20"/>
          <w:lang w:eastAsia="en-GB"/>
        </w:rPr>
        <w:t>This study provides insight into the immediate impact on health presentations during COVID-19 lockdown policies on a predominantly Aboriginal Australian community, </w:t>
      </w:r>
      <w:r w:rsidRPr="009369E9">
        <w:rPr>
          <w:rFonts w:ascii="Arial" w:eastAsia="Times New Roman" w:hAnsi="Arial" w:cs="Arial"/>
          <w:sz w:val="20"/>
          <w:szCs w:val="20"/>
          <w:lang w:eastAsia="en-GB"/>
        </w:rPr>
        <w:t xml:space="preserve">revealing trends that were seen in other studies in Australia. </w:t>
      </w:r>
    </w:p>
    <w:p w14:paraId="0ACEB29F" w14:textId="77777777" w:rsidR="00FA3B17" w:rsidRDefault="00FA3B17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BA3E1F" w14:textId="77777777" w:rsidR="00FA3B17" w:rsidRDefault="00FA3B17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73A13C" w14:textId="77777777" w:rsidR="00FF5173" w:rsidRPr="00FF5173" w:rsidRDefault="00FA3B17" w:rsidP="00FF5173">
      <w:pPr>
        <w:pStyle w:val="EndNoteBibliography"/>
        <w:spacing w:after="0"/>
        <w:ind w:left="720" w:hanging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ADDIN EN.REFLIST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FF5173" w:rsidRPr="00FF5173">
        <w:rPr>
          <w:noProof/>
        </w:rPr>
        <w:t>1.</w:t>
      </w:r>
      <w:r w:rsidR="00FF5173" w:rsidRPr="00FF5173">
        <w:rPr>
          <w:noProof/>
        </w:rPr>
        <w:tab/>
      </w:r>
      <w:r w:rsidR="00FF5173" w:rsidRPr="00FF5173">
        <w:rPr>
          <w:rFonts w:ascii="Arial" w:hAnsi="Arial" w:cs="Arial"/>
          <w:noProof/>
          <w:sz w:val="20"/>
          <w:szCs w:val="20"/>
        </w:rPr>
        <w:t>Australian Institute of Health and Welfare. Australia’s health 2020: data insights. Canberra: AIHW; 2020.</w:t>
      </w:r>
    </w:p>
    <w:p w14:paraId="700702D2" w14:textId="211E126D" w:rsidR="00FF5173" w:rsidRPr="00FF5173" w:rsidRDefault="00FF5173" w:rsidP="00FF5173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</w:rPr>
      </w:pPr>
      <w:r w:rsidRPr="00FF5173">
        <w:rPr>
          <w:rFonts w:ascii="Arial" w:hAnsi="Arial" w:cs="Arial"/>
          <w:noProof/>
          <w:sz w:val="20"/>
          <w:szCs w:val="20"/>
        </w:rPr>
        <w:t>2.</w:t>
      </w:r>
      <w:r w:rsidRPr="00FF5173">
        <w:rPr>
          <w:rFonts w:ascii="Arial" w:hAnsi="Arial" w:cs="Arial"/>
          <w:noProof/>
          <w:sz w:val="20"/>
          <w:szCs w:val="20"/>
        </w:rPr>
        <w:tab/>
        <w:t>Biosecurity (Human Biosecurity Emergency) (Human Coronavirus with Pandemic Potential) (Emergency Requirements for Remote Communities) Determination 2020, (2020). (Cth)</w:t>
      </w:r>
    </w:p>
    <w:p w14:paraId="5F62321B" w14:textId="10A6F4B8" w:rsidR="003C7861" w:rsidRPr="00B60342" w:rsidRDefault="00FA3B17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sectPr w:rsidR="003C7861" w:rsidRPr="00B6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646A"/>
    <w:multiLevelType w:val="hybridMultilevel"/>
    <w:tmpl w:val="6B8A1906"/>
    <w:lvl w:ilvl="0" w:tplc="7CD80AB4">
      <w:start w:val="48"/>
      <w:numFmt w:val="bullet"/>
      <w:pStyle w:val="EndNoteBibliography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13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rx5ef2a9wvwrevf0jxavti2vfa005d0ppv&quot;&gt;My EndNote Library&lt;record-ids&gt;&lt;item&gt;64&lt;/item&gt;&lt;item&gt;74&lt;/item&gt;&lt;/record-ids&gt;&lt;/item&gt;&lt;/Libraries&gt;"/>
  </w:docVars>
  <w:rsids>
    <w:rsidRoot w:val="00E317F3"/>
    <w:rsid w:val="00005EA0"/>
    <w:rsid w:val="000104AF"/>
    <w:rsid w:val="00021A18"/>
    <w:rsid w:val="00040A3D"/>
    <w:rsid w:val="000A2711"/>
    <w:rsid w:val="00102F26"/>
    <w:rsid w:val="00106859"/>
    <w:rsid w:val="001D1FD3"/>
    <w:rsid w:val="00250A12"/>
    <w:rsid w:val="00282310"/>
    <w:rsid w:val="003511AB"/>
    <w:rsid w:val="003C7861"/>
    <w:rsid w:val="003D6105"/>
    <w:rsid w:val="003E05A9"/>
    <w:rsid w:val="003E234A"/>
    <w:rsid w:val="00594699"/>
    <w:rsid w:val="005F00CA"/>
    <w:rsid w:val="006240BE"/>
    <w:rsid w:val="00640CEC"/>
    <w:rsid w:val="006F007C"/>
    <w:rsid w:val="007E2E38"/>
    <w:rsid w:val="0087647E"/>
    <w:rsid w:val="008D2CB0"/>
    <w:rsid w:val="00910C24"/>
    <w:rsid w:val="009163D5"/>
    <w:rsid w:val="009369E9"/>
    <w:rsid w:val="009B5608"/>
    <w:rsid w:val="00A85881"/>
    <w:rsid w:val="00AC428E"/>
    <w:rsid w:val="00B60342"/>
    <w:rsid w:val="00B76E82"/>
    <w:rsid w:val="00BE60F9"/>
    <w:rsid w:val="00C65486"/>
    <w:rsid w:val="00C83C18"/>
    <w:rsid w:val="00D273AA"/>
    <w:rsid w:val="00DD4860"/>
    <w:rsid w:val="00DF7A3A"/>
    <w:rsid w:val="00E21D3C"/>
    <w:rsid w:val="00E317F3"/>
    <w:rsid w:val="00F111CF"/>
    <w:rsid w:val="00F2348A"/>
    <w:rsid w:val="00F31904"/>
    <w:rsid w:val="00F90843"/>
    <w:rsid w:val="00FA3B17"/>
    <w:rsid w:val="00FF5173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character" w:customStyle="1" w:styleId="s2">
    <w:name w:val="s2"/>
    <w:basedOn w:val="DefaultParagraphFont"/>
    <w:rsid w:val="00DD4860"/>
  </w:style>
  <w:style w:type="character" w:customStyle="1" w:styleId="apple-converted-space">
    <w:name w:val="apple-converted-space"/>
    <w:basedOn w:val="DefaultParagraphFont"/>
    <w:rsid w:val="00DD4860"/>
  </w:style>
  <w:style w:type="character" w:customStyle="1" w:styleId="s4">
    <w:name w:val="s4"/>
    <w:basedOn w:val="DefaultParagraphFont"/>
    <w:rsid w:val="009B5608"/>
  </w:style>
  <w:style w:type="paragraph" w:styleId="ListParagraph">
    <w:name w:val="List Paragraph"/>
    <w:basedOn w:val="Normal"/>
    <w:link w:val="ListParagraphChar"/>
    <w:uiPriority w:val="34"/>
    <w:qFormat/>
    <w:rsid w:val="00040A3D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A3B17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3B17"/>
  </w:style>
  <w:style w:type="character" w:customStyle="1" w:styleId="EndNoteBibliographyTitleChar">
    <w:name w:val="EndNote Bibliography Title Char"/>
    <w:basedOn w:val="ListParagraphChar"/>
    <w:link w:val="EndNoteBibliographyTitle"/>
    <w:rsid w:val="00FA3B17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A3B17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FA3B17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Alex Zheng</cp:lastModifiedBy>
  <cp:revision>7</cp:revision>
  <dcterms:created xsi:type="dcterms:W3CDTF">2022-05-09T13:47:00Z</dcterms:created>
  <dcterms:modified xsi:type="dcterms:W3CDTF">2022-05-10T10:56:00Z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