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17B3A" w14:textId="77777777" w:rsidR="00E969FA" w:rsidRPr="00274816" w:rsidRDefault="00E969FA" w:rsidP="00E969FA">
      <w:pPr>
        <w:spacing w:after="0"/>
        <w:rPr>
          <w:rFonts w:ascii="Arial" w:hAnsi="Arial" w:cs="Arial"/>
          <w:b/>
        </w:rPr>
      </w:pPr>
      <w:r w:rsidRPr="00274816">
        <w:rPr>
          <w:rFonts w:ascii="Arial" w:hAnsi="Arial" w:cs="Arial"/>
          <w:b/>
        </w:rPr>
        <w:t>Background</w:t>
      </w:r>
    </w:p>
    <w:p w14:paraId="70913B7B" w14:textId="17527ACF" w:rsidR="00E969FA" w:rsidRPr="00274816" w:rsidRDefault="000F2CD9" w:rsidP="00627DAD">
      <w:pPr>
        <w:rPr>
          <w:rFonts w:ascii="Arial" w:hAnsi="Arial" w:cs="Arial"/>
        </w:rPr>
      </w:pPr>
      <w:r w:rsidRPr="00274816">
        <w:rPr>
          <w:rFonts w:ascii="Arial" w:hAnsi="Arial" w:cs="Arial"/>
        </w:rPr>
        <w:t xml:space="preserve">It has been more than a decade since </w:t>
      </w:r>
      <w:proofErr w:type="spellStart"/>
      <w:r w:rsidRPr="00274816">
        <w:rPr>
          <w:rFonts w:ascii="Arial" w:hAnsi="Arial" w:cs="Arial"/>
        </w:rPr>
        <w:t>Entrustable</w:t>
      </w:r>
      <w:proofErr w:type="spellEnd"/>
      <w:r w:rsidRPr="00274816">
        <w:rPr>
          <w:rFonts w:ascii="Arial" w:hAnsi="Arial" w:cs="Arial"/>
        </w:rPr>
        <w:t xml:space="preserve"> Professional Activities (EPAs) were fir</w:t>
      </w:r>
      <w:r w:rsidR="00627DAD" w:rsidRPr="00274816">
        <w:rPr>
          <w:rFonts w:ascii="Arial" w:hAnsi="Arial" w:cs="Arial"/>
        </w:rPr>
        <w:t xml:space="preserve">st introduced in the literature, yet they are not </w:t>
      </w:r>
      <w:bookmarkStart w:id="0" w:name="_GoBack"/>
      <w:bookmarkEnd w:id="0"/>
      <w:r w:rsidR="00627DAD" w:rsidRPr="00274816">
        <w:rPr>
          <w:rFonts w:ascii="Arial" w:hAnsi="Arial" w:cs="Arial"/>
        </w:rPr>
        <w:t>widely used in Australian GP training.</w:t>
      </w:r>
      <w:r w:rsidRPr="00274816">
        <w:rPr>
          <w:rFonts w:ascii="Arial" w:hAnsi="Arial" w:cs="Arial"/>
        </w:rPr>
        <w:t xml:space="preserve"> The concept of entrustment decision-making, that is deciding how far to trust a </w:t>
      </w:r>
      <w:r w:rsidR="00627DAD" w:rsidRPr="00274816">
        <w:rPr>
          <w:rFonts w:ascii="Arial" w:hAnsi="Arial" w:cs="Arial"/>
        </w:rPr>
        <w:t>registrar</w:t>
      </w:r>
      <w:r w:rsidRPr="00274816">
        <w:rPr>
          <w:rFonts w:ascii="Arial" w:hAnsi="Arial" w:cs="Arial"/>
        </w:rPr>
        <w:t xml:space="preserve"> to care for a patient, is an attempt to align daily clinical activities with </w:t>
      </w:r>
      <w:r w:rsidR="00627DAD" w:rsidRPr="00274816">
        <w:rPr>
          <w:rFonts w:ascii="Arial" w:hAnsi="Arial" w:cs="Arial"/>
        </w:rPr>
        <w:t xml:space="preserve">competency based </w:t>
      </w:r>
      <w:r w:rsidRPr="00274816">
        <w:rPr>
          <w:rFonts w:ascii="Arial" w:hAnsi="Arial" w:cs="Arial"/>
        </w:rPr>
        <w:t xml:space="preserve">assessment. </w:t>
      </w:r>
      <w:r w:rsidR="00C766F5" w:rsidRPr="00274816">
        <w:rPr>
          <w:rFonts w:ascii="Arial" w:hAnsi="Arial" w:cs="Arial"/>
        </w:rPr>
        <w:t>In SA, 13 EPAs were developed and implemented to all registrars.</w:t>
      </w:r>
    </w:p>
    <w:p w14:paraId="0EA3CE9B" w14:textId="77777777" w:rsidR="00E969FA" w:rsidRPr="00274816" w:rsidRDefault="00E969FA" w:rsidP="00E969FA">
      <w:pPr>
        <w:spacing w:after="0"/>
        <w:rPr>
          <w:rFonts w:ascii="Arial" w:hAnsi="Arial" w:cs="Arial"/>
          <w:b/>
        </w:rPr>
      </w:pPr>
      <w:r w:rsidRPr="00274816">
        <w:rPr>
          <w:rFonts w:ascii="Arial" w:hAnsi="Arial" w:cs="Arial"/>
          <w:b/>
        </w:rPr>
        <w:t>Aims</w:t>
      </w:r>
    </w:p>
    <w:p w14:paraId="713DEE91" w14:textId="57EB745A" w:rsidR="00E33BE3" w:rsidRPr="00274816" w:rsidRDefault="00E33BE3" w:rsidP="00E969FA">
      <w:pPr>
        <w:pStyle w:val="NoSpacing"/>
        <w:rPr>
          <w:rFonts w:ascii="Arial" w:hAnsi="Arial" w:cs="Arial"/>
        </w:rPr>
      </w:pPr>
      <w:r w:rsidRPr="00274816">
        <w:rPr>
          <w:rFonts w:ascii="Arial" w:hAnsi="Arial" w:cs="Arial"/>
        </w:rPr>
        <w:t xml:space="preserve">To determine if EPAs developed are a robust assessment item for GP registrars </w:t>
      </w:r>
      <w:r w:rsidR="006C512C" w:rsidRPr="00274816">
        <w:rPr>
          <w:rFonts w:ascii="Arial" w:hAnsi="Arial" w:cs="Arial"/>
          <w:i/>
        </w:rPr>
        <w:t>of</w:t>
      </w:r>
      <w:r w:rsidR="006C512C" w:rsidRPr="00274816">
        <w:rPr>
          <w:rFonts w:ascii="Arial" w:hAnsi="Arial" w:cs="Arial"/>
        </w:rPr>
        <w:t xml:space="preserve"> learning and </w:t>
      </w:r>
      <w:r w:rsidR="006C512C" w:rsidRPr="00274816">
        <w:rPr>
          <w:rFonts w:ascii="Arial" w:hAnsi="Arial" w:cs="Arial"/>
          <w:i/>
        </w:rPr>
        <w:t>for</w:t>
      </w:r>
      <w:r w:rsidR="006C512C" w:rsidRPr="00274816">
        <w:rPr>
          <w:rFonts w:ascii="Arial" w:hAnsi="Arial" w:cs="Arial"/>
        </w:rPr>
        <w:t xml:space="preserve"> learning.</w:t>
      </w:r>
    </w:p>
    <w:p w14:paraId="6A91D947" w14:textId="77777777" w:rsidR="00E969FA" w:rsidRPr="00274816" w:rsidRDefault="00E969FA" w:rsidP="00E969FA">
      <w:pPr>
        <w:pStyle w:val="NoSpacing"/>
        <w:rPr>
          <w:rFonts w:ascii="Arial" w:hAnsi="Arial" w:cs="Arial"/>
        </w:rPr>
      </w:pPr>
    </w:p>
    <w:p w14:paraId="7849698F" w14:textId="77777777" w:rsidR="00E969FA" w:rsidRPr="00274816" w:rsidRDefault="00E969FA" w:rsidP="00E969FA">
      <w:pPr>
        <w:spacing w:after="0"/>
        <w:rPr>
          <w:rFonts w:ascii="Arial" w:hAnsi="Arial" w:cs="Arial"/>
          <w:b/>
        </w:rPr>
      </w:pPr>
      <w:r w:rsidRPr="00274816">
        <w:rPr>
          <w:rFonts w:ascii="Arial" w:hAnsi="Arial" w:cs="Arial"/>
          <w:b/>
        </w:rPr>
        <w:t>Method</w:t>
      </w:r>
    </w:p>
    <w:p w14:paraId="33637AF3" w14:textId="4A313FAC" w:rsidR="00E969FA" w:rsidRPr="00274816" w:rsidRDefault="00C766F5" w:rsidP="00627DAD">
      <w:pPr>
        <w:rPr>
          <w:rFonts w:ascii="Arial" w:hAnsi="Arial" w:cs="Arial"/>
          <w:color w:val="000000" w:themeColor="text1"/>
        </w:rPr>
      </w:pPr>
      <w:r w:rsidRPr="00274816">
        <w:rPr>
          <w:rFonts w:ascii="Arial" w:hAnsi="Arial" w:cs="Arial"/>
          <w:color w:val="000000" w:themeColor="text1"/>
        </w:rPr>
        <w:t xml:space="preserve">Supervisors </w:t>
      </w:r>
      <w:r w:rsidR="004D29AB" w:rsidRPr="00274816">
        <w:rPr>
          <w:rFonts w:ascii="Arial" w:hAnsi="Arial" w:cs="Arial"/>
          <w:color w:val="000000" w:themeColor="text1"/>
        </w:rPr>
        <w:t>c</w:t>
      </w:r>
      <w:r w:rsidR="00627DAD" w:rsidRPr="00274816">
        <w:rPr>
          <w:rFonts w:ascii="Arial" w:hAnsi="Arial" w:cs="Arial"/>
          <w:color w:val="000000" w:themeColor="text1"/>
        </w:rPr>
        <w:t xml:space="preserve">ompleted an EPA assessment four times for 131 junior registrars and 151 senior registrars. Registrars also completed </w:t>
      </w:r>
      <w:r w:rsidRPr="00274816">
        <w:rPr>
          <w:rFonts w:ascii="Arial" w:hAnsi="Arial" w:cs="Arial"/>
          <w:color w:val="000000" w:themeColor="text1"/>
        </w:rPr>
        <w:t>a self-assessment</w:t>
      </w:r>
      <w:r w:rsidR="00627DAD" w:rsidRPr="00274816">
        <w:rPr>
          <w:rFonts w:ascii="Arial" w:hAnsi="Arial" w:cs="Arial"/>
          <w:color w:val="000000" w:themeColor="text1"/>
        </w:rPr>
        <w:t xml:space="preserve"> using the same EPAs. There was an opportunity for comments after each EPA. The levels of entrustment for all EPAs were analysed and the comments for a random sample of </w:t>
      </w:r>
      <w:r w:rsidR="0013010A" w:rsidRPr="00274816">
        <w:rPr>
          <w:rFonts w:ascii="Arial" w:hAnsi="Arial" w:cs="Arial"/>
          <w:color w:val="000000" w:themeColor="text1"/>
        </w:rPr>
        <w:t xml:space="preserve">50 </w:t>
      </w:r>
      <w:r w:rsidR="00627DAD" w:rsidRPr="00274816">
        <w:rPr>
          <w:rFonts w:ascii="Arial" w:hAnsi="Arial" w:cs="Arial"/>
          <w:color w:val="000000" w:themeColor="text1"/>
        </w:rPr>
        <w:t xml:space="preserve">junior and </w:t>
      </w:r>
      <w:r w:rsidR="0013010A" w:rsidRPr="00274816">
        <w:rPr>
          <w:rFonts w:ascii="Arial" w:hAnsi="Arial" w:cs="Arial"/>
          <w:color w:val="000000" w:themeColor="text1"/>
        </w:rPr>
        <w:t xml:space="preserve">30 </w:t>
      </w:r>
      <w:r w:rsidR="00627DAD" w:rsidRPr="00274816">
        <w:rPr>
          <w:rFonts w:ascii="Arial" w:hAnsi="Arial" w:cs="Arial"/>
          <w:color w:val="000000" w:themeColor="text1"/>
        </w:rPr>
        <w:t xml:space="preserve">senior </w:t>
      </w:r>
      <w:r w:rsidRPr="00274816">
        <w:rPr>
          <w:rFonts w:ascii="Arial" w:hAnsi="Arial" w:cs="Arial"/>
          <w:color w:val="000000" w:themeColor="text1"/>
        </w:rPr>
        <w:t>registrars</w:t>
      </w:r>
      <w:r w:rsidR="00627DAD" w:rsidRPr="00274816">
        <w:rPr>
          <w:rFonts w:ascii="Arial" w:hAnsi="Arial" w:cs="Arial"/>
          <w:color w:val="000000" w:themeColor="text1"/>
        </w:rPr>
        <w:t xml:space="preserve"> coded.</w:t>
      </w:r>
    </w:p>
    <w:p w14:paraId="0A709A9E" w14:textId="77777777" w:rsidR="00E969FA" w:rsidRPr="00274816" w:rsidRDefault="00E969FA" w:rsidP="00E969FA">
      <w:pPr>
        <w:spacing w:after="0"/>
        <w:rPr>
          <w:rFonts w:ascii="Arial" w:hAnsi="Arial" w:cs="Arial"/>
          <w:b/>
        </w:rPr>
      </w:pPr>
      <w:r w:rsidRPr="00274816">
        <w:rPr>
          <w:rFonts w:ascii="Arial" w:hAnsi="Arial" w:cs="Arial"/>
          <w:b/>
        </w:rPr>
        <w:t>Results</w:t>
      </w:r>
    </w:p>
    <w:p w14:paraId="1CE846D0" w14:textId="50AE87DE" w:rsidR="00627DAD" w:rsidRPr="00274816" w:rsidRDefault="00C766F5" w:rsidP="00627DAD">
      <w:pPr>
        <w:rPr>
          <w:rFonts w:ascii="Arial" w:hAnsi="Arial" w:cs="Arial"/>
          <w:color w:val="000000" w:themeColor="text1"/>
        </w:rPr>
      </w:pPr>
      <w:r w:rsidRPr="00274816">
        <w:rPr>
          <w:rFonts w:ascii="Arial" w:hAnsi="Arial" w:cs="Arial"/>
          <w:color w:val="000000" w:themeColor="text1"/>
        </w:rPr>
        <w:t>S</w:t>
      </w:r>
      <w:r w:rsidR="00627DAD" w:rsidRPr="00274816">
        <w:rPr>
          <w:rFonts w:ascii="Arial" w:hAnsi="Arial" w:cs="Arial"/>
          <w:color w:val="000000" w:themeColor="text1"/>
        </w:rPr>
        <w:t>upervisors utilised all levels of entrustment in marking their trainees. Levels of entrustment for all EPAs were higher for senior registrars compared to junior registrars and there was growth in level of entrustment seen over time for both senior and junior registrars. There was correlation between the level of entrustment marked by supervisors and the self-reflection analysis by the registrars</w:t>
      </w:r>
      <w:r w:rsidRPr="00274816">
        <w:rPr>
          <w:rFonts w:ascii="Arial" w:hAnsi="Arial" w:cs="Arial"/>
          <w:color w:val="000000" w:themeColor="text1"/>
        </w:rPr>
        <w:t>, with this correlation improving over time</w:t>
      </w:r>
      <w:r w:rsidR="00627DAD" w:rsidRPr="00274816">
        <w:rPr>
          <w:rFonts w:ascii="Arial" w:hAnsi="Arial" w:cs="Arial"/>
          <w:color w:val="000000" w:themeColor="text1"/>
        </w:rPr>
        <w:t xml:space="preserve">. </w:t>
      </w:r>
    </w:p>
    <w:p w14:paraId="15F161DF" w14:textId="3F2150EB" w:rsidR="00E969FA" w:rsidRPr="00274816" w:rsidRDefault="00627DAD" w:rsidP="00627DAD">
      <w:pPr>
        <w:rPr>
          <w:rFonts w:ascii="Arial" w:hAnsi="Arial" w:cs="Arial"/>
          <w:color w:val="000000" w:themeColor="text1"/>
        </w:rPr>
      </w:pPr>
      <w:r w:rsidRPr="00274816">
        <w:rPr>
          <w:rFonts w:ascii="Arial" w:hAnsi="Arial" w:cs="Arial"/>
          <w:color w:val="000000" w:themeColor="text1"/>
        </w:rPr>
        <w:t xml:space="preserve">Qualitative data analysis of the feedback comments by supervisors and </w:t>
      </w:r>
      <w:r w:rsidR="00C766F5" w:rsidRPr="00274816">
        <w:rPr>
          <w:rFonts w:ascii="Arial" w:hAnsi="Arial" w:cs="Arial"/>
          <w:color w:val="000000" w:themeColor="text1"/>
        </w:rPr>
        <w:t>registrars</w:t>
      </w:r>
      <w:r w:rsidRPr="00274816">
        <w:rPr>
          <w:rFonts w:ascii="Arial" w:hAnsi="Arial" w:cs="Arial"/>
          <w:color w:val="000000" w:themeColor="text1"/>
        </w:rPr>
        <w:t xml:space="preserve"> indicate the narrative covers a broad range of areas including competency, specific advice, technique, experience, specific gaps, confidence, requirement for supervision, behaviour, performance and progress. The narrative for junior registrars were more specific and of higher quality than the narrative for senior trainees. </w:t>
      </w:r>
    </w:p>
    <w:p w14:paraId="6844665A" w14:textId="77777777" w:rsidR="00E969FA" w:rsidRPr="00274816" w:rsidRDefault="00E969FA" w:rsidP="00E969FA">
      <w:pPr>
        <w:spacing w:after="0"/>
        <w:rPr>
          <w:rFonts w:ascii="Arial" w:hAnsi="Arial" w:cs="Arial"/>
          <w:b/>
        </w:rPr>
      </w:pPr>
      <w:r w:rsidRPr="00274816">
        <w:rPr>
          <w:rFonts w:ascii="Arial" w:hAnsi="Arial" w:cs="Arial"/>
          <w:b/>
        </w:rPr>
        <w:t>Conclusion</w:t>
      </w:r>
    </w:p>
    <w:p w14:paraId="23176955" w14:textId="2D60CC8B" w:rsidR="007A3219" w:rsidRPr="00274816" w:rsidRDefault="00627DAD" w:rsidP="00627DAD">
      <w:pPr>
        <w:rPr>
          <w:rFonts w:ascii="Arial" w:hAnsi="Arial" w:cs="Arial"/>
          <w:color w:val="000000" w:themeColor="text1"/>
        </w:rPr>
      </w:pPr>
      <w:r w:rsidRPr="00274816">
        <w:rPr>
          <w:rFonts w:ascii="Arial" w:hAnsi="Arial" w:cs="Arial"/>
          <w:color w:val="000000" w:themeColor="text1"/>
        </w:rPr>
        <w:t xml:space="preserve">The EPAs developed are a valuable assessment tool which are able to </w:t>
      </w:r>
      <w:r w:rsidR="004D29AB" w:rsidRPr="00274816">
        <w:rPr>
          <w:rFonts w:ascii="Arial" w:hAnsi="Arial" w:cs="Arial"/>
          <w:color w:val="000000" w:themeColor="text1"/>
        </w:rPr>
        <w:t xml:space="preserve">demonstrate differentiation and </w:t>
      </w:r>
      <w:r w:rsidRPr="00274816">
        <w:rPr>
          <w:rFonts w:ascii="Arial" w:hAnsi="Arial" w:cs="Arial"/>
          <w:color w:val="000000" w:themeColor="text1"/>
        </w:rPr>
        <w:t xml:space="preserve">growth in junior and senior trainees; and stimulate self-reflection and the provision of narrative rich feedback to the </w:t>
      </w:r>
      <w:r w:rsidR="004D29AB" w:rsidRPr="00274816">
        <w:rPr>
          <w:rFonts w:ascii="Arial" w:hAnsi="Arial" w:cs="Arial"/>
          <w:color w:val="000000" w:themeColor="text1"/>
        </w:rPr>
        <w:t>registrar</w:t>
      </w:r>
      <w:r w:rsidRPr="00274816">
        <w:rPr>
          <w:rFonts w:ascii="Arial" w:hAnsi="Arial" w:cs="Arial"/>
          <w:color w:val="000000" w:themeColor="text1"/>
        </w:rPr>
        <w:t xml:space="preserve"> over a broad range of areas. </w:t>
      </w:r>
    </w:p>
    <w:p w14:paraId="65CC8401" w14:textId="374EE08E" w:rsidR="00D36DC2" w:rsidRPr="00274816" w:rsidRDefault="00D36DC2" w:rsidP="00627DAD">
      <w:pPr>
        <w:rPr>
          <w:rFonts w:ascii="Arial" w:hAnsi="Arial" w:cs="Arial"/>
          <w:b/>
          <w:color w:val="000000" w:themeColor="text1"/>
        </w:rPr>
      </w:pPr>
    </w:p>
    <w:sectPr w:rsidR="00D36DC2" w:rsidRPr="00274816"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E8AFD" w14:textId="77777777" w:rsidR="00601A57" w:rsidRDefault="00601A57" w:rsidP="00DB6276">
      <w:pPr>
        <w:spacing w:after="0" w:line="240" w:lineRule="auto"/>
      </w:pPr>
      <w:r>
        <w:separator/>
      </w:r>
    </w:p>
  </w:endnote>
  <w:endnote w:type="continuationSeparator" w:id="0">
    <w:p w14:paraId="0CFF9BE1" w14:textId="77777777" w:rsidR="00601A57" w:rsidRDefault="00601A57"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5C7E2" w14:textId="77777777" w:rsidR="00601A57" w:rsidRDefault="00601A57" w:rsidP="00DB6276">
      <w:pPr>
        <w:spacing w:after="0" w:line="240" w:lineRule="auto"/>
      </w:pPr>
      <w:r>
        <w:separator/>
      </w:r>
    </w:p>
  </w:footnote>
  <w:footnote w:type="continuationSeparator" w:id="0">
    <w:p w14:paraId="53AD1818" w14:textId="77777777" w:rsidR="00601A57" w:rsidRDefault="00601A57"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4C3E36"/>
    <w:multiLevelType w:val="hybridMultilevel"/>
    <w:tmpl w:val="D4AE8E66"/>
    <w:lvl w:ilvl="0" w:tplc="6CC8A444">
      <w:start w:val="1"/>
      <w:numFmt w:val="decimal"/>
      <w:lvlText w:val="%1."/>
      <w:lvlJc w:val="left"/>
      <w:pPr>
        <w:tabs>
          <w:tab w:val="num" w:pos="720"/>
        </w:tabs>
        <w:ind w:left="720" w:hanging="360"/>
      </w:pPr>
    </w:lvl>
    <w:lvl w:ilvl="1" w:tplc="4BCAFCCC" w:tentative="1">
      <w:start w:val="1"/>
      <w:numFmt w:val="decimal"/>
      <w:lvlText w:val="%2."/>
      <w:lvlJc w:val="left"/>
      <w:pPr>
        <w:tabs>
          <w:tab w:val="num" w:pos="1440"/>
        </w:tabs>
        <w:ind w:left="1440" w:hanging="360"/>
      </w:pPr>
    </w:lvl>
    <w:lvl w:ilvl="2" w:tplc="D6E6CF5C" w:tentative="1">
      <w:start w:val="1"/>
      <w:numFmt w:val="decimal"/>
      <w:lvlText w:val="%3."/>
      <w:lvlJc w:val="left"/>
      <w:pPr>
        <w:tabs>
          <w:tab w:val="num" w:pos="2160"/>
        </w:tabs>
        <w:ind w:left="2160" w:hanging="360"/>
      </w:pPr>
    </w:lvl>
    <w:lvl w:ilvl="3" w:tplc="7924F972" w:tentative="1">
      <w:start w:val="1"/>
      <w:numFmt w:val="decimal"/>
      <w:lvlText w:val="%4."/>
      <w:lvlJc w:val="left"/>
      <w:pPr>
        <w:tabs>
          <w:tab w:val="num" w:pos="2880"/>
        </w:tabs>
        <w:ind w:left="2880" w:hanging="360"/>
      </w:pPr>
    </w:lvl>
    <w:lvl w:ilvl="4" w:tplc="57E2EA68" w:tentative="1">
      <w:start w:val="1"/>
      <w:numFmt w:val="decimal"/>
      <w:lvlText w:val="%5."/>
      <w:lvlJc w:val="left"/>
      <w:pPr>
        <w:tabs>
          <w:tab w:val="num" w:pos="3600"/>
        </w:tabs>
        <w:ind w:left="3600" w:hanging="360"/>
      </w:pPr>
    </w:lvl>
    <w:lvl w:ilvl="5" w:tplc="5D7E30A4" w:tentative="1">
      <w:start w:val="1"/>
      <w:numFmt w:val="decimal"/>
      <w:lvlText w:val="%6."/>
      <w:lvlJc w:val="left"/>
      <w:pPr>
        <w:tabs>
          <w:tab w:val="num" w:pos="4320"/>
        </w:tabs>
        <w:ind w:left="4320" w:hanging="360"/>
      </w:pPr>
    </w:lvl>
    <w:lvl w:ilvl="6" w:tplc="5C045C68" w:tentative="1">
      <w:start w:val="1"/>
      <w:numFmt w:val="decimal"/>
      <w:lvlText w:val="%7."/>
      <w:lvlJc w:val="left"/>
      <w:pPr>
        <w:tabs>
          <w:tab w:val="num" w:pos="5040"/>
        </w:tabs>
        <w:ind w:left="5040" w:hanging="360"/>
      </w:pPr>
    </w:lvl>
    <w:lvl w:ilvl="7" w:tplc="715EB9DC" w:tentative="1">
      <w:start w:val="1"/>
      <w:numFmt w:val="decimal"/>
      <w:lvlText w:val="%8."/>
      <w:lvlJc w:val="left"/>
      <w:pPr>
        <w:tabs>
          <w:tab w:val="num" w:pos="5760"/>
        </w:tabs>
        <w:ind w:left="5760" w:hanging="360"/>
      </w:pPr>
    </w:lvl>
    <w:lvl w:ilvl="8" w:tplc="AB36AC74" w:tentative="1">
      <w:start w:val="1"/>
      <w:numFmt w:val="decimal"/>
      <w:lvlText w:val="%9."/>
      <w:lvlJc w:val="left"/>
      <w:pPr>
        <w:tabs>
          <w:tab w:val="num" w:pos="6480"/>
        </w:tabs>
        <w:ind w:left="6480" w:hanging="360"/>
      </w:pPr>
    </w:lvl>
  </w:abstractNum>
  <w:abstractNum w:abstractNumId="4">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7762AD"/>
    <w:multiLevelType w:val="hybridMultilevel"/>
    <w:tmpl w:val="F2C6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7"/>
  </w:num>
  <w:num w:numId="4">
    <w:abstractNumId w:val="26"/>
  </w:num>
  <w:num w:numId="5">
    <w:abstractNumId w:val="14"/>
  </w:num>
  <w:num w:numId="6">
    <w:abstractNumId w:val="24"/>
  </w:num>
  <w:num w:numId="7">
    <w:abstractNumId w:val="8"/>
  </w:num>
  <w:num w:numId="8">
    <w:abstractNumId w:val="15"/>
  </w:num>
  <w:num w:numId="9">
    <w:abstractNumId w:val="7"/>
  </w:num>
  <w:num w:numId="10">
    <w:abstractNumId w:val="23"/>
  </w:num>
  <w:num w:numId="11">
    <w:abstractNumId w:val="16"/>
  </w:num>
  <w:num w:numId="12">
    <w:abstractNumId w:val="5"/>
  </w:num>
  <w:num w:numId="13">
    <w:abstractNumId w:val="0"/>
  </w:num>
  <w:num w:numId="14">
    <w:abstractNumId w:val="25"/>
  </w:num>
  <w:num w:numId="15">
    <w:abstractNumId w:val="1"/>
  </w:num>
  <w:num w:numId="16">
    <w:abstractNumId w:val="18"/>
  </w:num>
  <w:num w:numId="17">
    <w:abstractNumId w:val="4"/>
  </w:num>
  <w:num w:numId="18">
    <w:abstractNumId w:val="22"/>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20"/>
  </w:num>
  <w:num w:numId="23">
    <w:abstractNumId w:val="21"/>
  </w:num>
  <w:num w:numId="24">
    <w:abstractNumId w:val="13"/>
  </w:num>
  <w:num w:numId="25">
    <w:abstractNumId w:val="27"/>
  </w:num>
  <w:num w:numId="26">
    <w:abstractNumId w:val="28"/>
  </w:num>
  <w:num w:numId="27">
    <w:abstractNumId w:val="2"/>
  </w:num>
  <w:num w:numId="28">
    <w:abstractNumId w:val="11"/>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D1EB3"/>
    <w:rsid w:val="000F2CD9"/>
    <w:rsid w:val="0011498A"/>
    <w:rsid w:val="0013010A"/>
    <w:rsid w:val="001A0E12"/>
    <w:rsid w:val="001A7273"/>
    <w:rsid w:val="00204AE2"/>
    <w:rsid w:val="002061A7"/>
    <w:rsid w:val="00226C37"/>
    <w:rsid w:val="00237188"/>
    <w:rsid w:val="00274816"/>
    <w:rsid w:val="002C520E"/>
    <w:rsid w:val="002D1372"/>
    <w:rsid w:val="002D267A"/>
    <w:rsid w:val="002D6E16"/>
    <w:rsid w:val="00323232"/>
    <w:rsid w:val="003319CA"/>
    <w:rsid w:val="0037377D"/>
    <w:rsid w:val="003A5C47"/>
    <w:rsid w:val="003B56C9"/>
    <w:rsid w:val="003C0B6D"/>
    <w:rsid w:val="003C790B"/>
    <w:rsid w:val="003D7F5C"/>
    <w:rsid w:val="00446F74"/>
    <w:rsid w:val="004806DA"/>
    <w:rsid w:val="004A4C8F"/>
    <w:rsid w:val="004A7DF6"/>
    <w:rsid w:val="004A7F18"/>
    <w:rsid w:val="004C4FEF"/>
    <w:rsid w:val="004D29AB"/>
    <w:rsid w:val="004D35FA"/>
    <w:rsid w:val="004F5E9D"/>
    <w:rsid w:val="00556C76"/>
    <w:rsid w:val="00561AD8"/>
    <w:rsid w:val="005C4F93"/>
    <w:rsid w:val="00601A57"/>
    <w:rsid w:val="006150A8"/>
    <w:rsid w:val="00627DAD"/>
    <w:rsid w:val="00634A5F"/>
    <w:rsid w:val="00654FDD"/>
    <w:rsid w:val="00663396"/>
    <w:rsid w:val="00687FF6"/>
    <w:rsid w:val="006C512C"/>
    <w:rsid w:val="006D10CF"/>
    <w:rsid w:val="007340C2"/>
    <w:rsid w:val="007A3219"/>
    <w:rsid w:val="007A4975"/>
    <w:rsid w:val="007C516D"/>
    <w:rsid w:val="008426B4"/>
    <w:rsid w:val="00866BFD"/>
    <w:rsid w:val="008A6431"/>
    <w:rsid w:val="008D7BF0"/>
    <w:rsid w:val="008F6C14"/>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AF7CB9"/>
    <w:rsid w:val="00B03208"/>
    <w:rsid w:val="00B12D26"/>
    <w:rsid w:val="00B20279"/>
    <w:rsid w:val="00B720B8"/>
    <w:rsid w:val="00B730A7"/>
    <w:rsid w:val="00BD3208"/>
    <w:rsid w:val="00BD72AD"/>
    <w:rsid w:val="00C218BD"/>
    <w:rsid w:val="00C3505E"/>
    <w:rsid w:val="00C4224F"/>
    <w:rsid w:val="00C426BE"/>
    <w:rsid w:val="00C766F5"/>
    <w:rsid w:val="00CA4098"/>
    <w:rsid w:val="00D22221"/>
    <w:rsid w:val="00D36DC2"/>
    <w:rsid w:val="00D56905"/>
    <w:rsid w:val="00D675D7"/>
    <w:rsid w:val="00D75A93"/>
    <w:rsid w:val="00D91638"/>
    <w:rsid w:val="00D94D46"/>
    <w:rsid w:val="00DB6276"/>
    <w:rsid w:val="00DC7A66"/>
    <w:rsid w:val="00DD428F"/>
    <w:rsid w:val="00DE0E61"/>
    <w:rsid w:val="00DF2A39"/>
    <w:rsid w:val="00E25F07"/>
    <w:rsid w:val="00E276B8"/>
    <w:rsid w:val="00E27C34"/>
    <w:rsid w:val="00E33BE3"/>
    <w:rsid w:val="00E36586"/>
    <w:rsid w:val="00E47A4C"/>
    <w:rsid w:val="00E55FB0"/>
    <w:rsid w:val="00E90532"/>
    <w:rsid w:val="00E969FA"/>
    <w:rsid w:val="00EA51A6"/>
    <w:rsid w:val="00EC46E6"/>
    <w:rsid w:val="00ED7C3D"/>
    <w:rsid w:val="00EE417F"/>
    <w:rsid w:val="00F052AA"/>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EC7A8"/>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 w:id="1831093018">
      <w:bodyDiv w:val="1"/>
      <w:marLeft w:val="0"/>
      <w:marRight w:val="0"/>
      <w:marTop w:val="0"/>
      <w:marBottom w:val="0"/>
      <w:divBdr>
        <w:top w:val="none" w:sz="0" w:space="0" w:color="auto"/>
        <w:left w:val="none" w:sz="0" w:space="0" w:color="auto"/>
        <w:bottom w:val="none" w:sz="0" w:space="0" w:color="auto"/>
        <w:right w:val="none" w:sz="0" w:space="0" w:color="auto"/>
      </w:divBdr>
      <w:divsChild>
        <w:div w:id="1160392934">
          <w:marLeft w:val="720"/>
          <w:marRight w:val="0"/>
          <w:marTop w:val="0"/>
          <w:marBottom w:val="0"/>
          <w:divBdr>
            <w:top w:val="none" w:sz="0" w:space="0" w:color="auto"/>
            <w:left w:val="none" w:sz="0" w:space="0" w:color="auto"/>
            <w:bottom w:val="none" w:sz="0" w:space="0" w:color="auto"/>
            <w:right w:val="none" w:sz="0" w:space="0" w:color="auto"/>
          </w:divBdr>
        </w:div>
        <w:div w:id="722942472">
          <w:marLeft w:val="720"/>
          <w:marRight w:val="0"/>
          <w:marTop w:val="0"/>
          <w:marBottom w:val="0"/>
          <w:divBdr>
            <w:top w:val="none" w:sz="0" w:space="0" w:color="auto"/>
            <w:left w:val="none" w:sz="0" w:space="0" w:color="auto"/>
            <w:bottom w:val="none" w:sz="0" w:space="0" w:color="auto"/>
            <w:right w:val="none" w:sz="0" w:space="0" w:color="auto"/>
          </w:divBdr>
        </w:div>
        <w:div w:id="109126287">
          <w:marLeft w:val="720"/>
          <w:marRight w:val="0"/>
          <w:marTop w:val="0"/>
          <w:marBottom w:val="0"/>
          <w:divBdr>
            <w:top w:val="none" w:sz="0" w:space="0" w:color="auto"/>
            <w:left w:val="none" w:sz="0" w:space="0" w:color="auto"/>
            <w:bottom w:val="none" w:sz="0" w:space="0" w:color="auto"/>
            <w:right w:val="none" w:sz="0" w:space="0" w:color="auto"/>
          </w:divBdr>
        </w:div>
        <w:div w:id="216551996">
          <w:marLeft w:val="720"/>
          <w:marRight w:val="0"/>
          <w:marTop w:val="0"/>
          <w:marBottom w:val="0"/>
          <w:divBdr>
            <w:top w:val="none" w:sz="0" w:space="0" w:color="auto"/>
            <w:left w:val="none" w:sz="0" w:space="0" w:color="auto"/>
            <w:bottom w:val="none" w:sz="0" w:space="0" w:color="auto"/>
            <w:right w:val="none" w:sz="0" w:space="0" w:color="auto"/>
          </w:divBdr>
        </w:div>
        <w:div w:id="113707076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307</Words>
  <Characters>1753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Nyoli Valentine</cp:lastModifiedBy>
  <cp:revision>8</cp:revision>
  <dcterms:created xsi:type="dcterms:W3CDTF">2018-02-26T06:07:00Z</dcterms:created>
  <dcterms:modified xsi:type="dcterms:W3CDTF">2018-03-03T03:01:00Z</dcterms:modified>
</cp:coreProperties>
</file>