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color w:val="454545"/>
          <w:u w:color="454545"/>
          <w:rtl w:val="0"/>
        </w:rPr>
      </w:pPr>
      <w:r>
        <w:rPr>
          <w:rFonts w:ascii="Helvetica Neue" w:cs="Calibri" w:hAnsi="Helvetica Neue" w:eastAsia="Calibri"/>
          <w:b w:val="1"/>
          <w:bCs w:val="1"/>
          <w:color w:val="454545"/>
          <w:u w:color="454545"/>
          <w:rtl w:val="0"/>
          <w:lang w:val="en-US"/>
        </w:rPr>
        <w:t>Accessible and engaging multimedia patient education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color w:val="454545"/>
          <w:u w:color="454545"/>
          <w:rtl w:val="0"/>
        </w:rPr>
      </w:pPr>
      <w:r>
        <w:rPr>
          <w:rFonts w:ascii="Helvetica Neue" w:cs="Calibri" w:hAnsi="Helvetica Neue" w:eastAsia="Calibri"/>
          <w:b w:val="1"/>
          <w:bCs w:val="1"/>
          <w:color w:val="454545"/>
          <w:u w:color="454545"/>
          <w:rtl w:val="0"/>
          <w:lang w:val="en-US"/>
        </w:rPr>
        <w:t>Author and affiliations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color w:val="454545"/>
          <w:u w:color="454545"/>
          <w:rtl w:val="0"/>
        </w:rPr>
      </w:pPr>
      <w:r>
        <w:rPr>
          <w:rFonts w:ascii="Calibri" w:cs="Calibri" w:hAnsi="Calibri" w:eastAsia="Calibri"/>
          <w:color w:val="454545"/>
          <w:u w:color="454545"/>
          <w:rtl w:val="0"/>
          <w:lang w:val="en-US"/>
        </w:rPr>
        <w:t xml:space="preserve">Dr George Forgan-Smith.  Educator at Business For Doctors 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454545"/>
          <w:u w:color="454545"/>
          <w:rtl w:val="0"/>
        </w:rPr>
      </w:pPr>
      <w:r>
        <w:rPr>
          <w:rFonts w:ascii="Calibri" w:cs="Calibri" w:hAnsi="Calibri" w:eastAsia="Calibri"/>
          <w:b w:val="1"/>
          <w:bCs w:val="1"/>
          <w:color w:val="454545"/>
          <w:u w:color="454545"/>
          <w:rtl w:val="0"/>
          <w:lang w:val="en-US"/>
        </w:rPr>
        <w:t>Background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</w:rPr>
      </w:pP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The use of videos and hubs for patient education has been an underutilised tool within medicine. At all stages of the patient journey, multimedia and video has been proven a useful, acceptable and highly valued tool for teaching.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</w:rPr>
      </w:pP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 xml:space="preserve">Through the creation of educational hubs, personalized teaching tools have been liberated allowing highly individualized, learner paced education with rich educational content. 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 xml:space="preserve">Hubs 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can include video, audio, quizzes and downloadable content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color w:val="454545"/>
          <w:u w:color="454545"/>
          <w:rtl w:val="0"/>
        </w:rPr>
      </w:pP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Smart phones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,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 xml:space="preserve"> readily accessible and widely used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 xml:space="preserve">, 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can be powerful creative tools. Highly engaging educational content can be easily created, edited, and shared in minutes with simple (and in many cases free) web design and hosting.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454545"/>
          <w:u w:color="454545"/>
          <w:rtl w:val="0"/>
        </w:rPr>
      </w:pPr>
      <w:r>
        <w:rPr>
          <w:rFonts w:ascii="Calibri" w:cs="Calibri" w:hAnsi="Calibri" w:eastAsia="Calibri"/>
          <w:b w:val="1"/>
          <w:bCs w:val="1"/>
          <w:color w:val="454545"/>
          <w:u w:color="454545"/>
          <w:rtl w:val="0"/>
          <w:lang w:val="en-US"/>
        </w:rPr>
        <w:t>Aims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</w:rPr>
      </w:pP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This workshop is designed to provide an overview of the creation of educational hubs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</w:rPr>
      </w:pP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for patients, doctors and peers.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</w:rPr>
      </w:pPr>
    </w:p>
    <w:p>
      <w:pPr>
        <w:pStyle w:val="Body"/>
        <w:numPr>
          <w:ilvl w:val="0"/>
          <w:numId w:val="1"/>
        </w:numPr>
        <w:bidi w:val="0"/>
        <w:ind w:right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  <w:lang w:val="en-US"/>
        </w:rPr>
      </w:pP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 xml:space="preserve">Researching the hidden needs of your market  </w:t>
      </w:r>
    </w:p>
    <w:p>
      <w:pPr>
        <w:pStyle w:val="Body"/>
        <w:numPr>
          <w:ilvl w:val="0"/>
          <w:numId w:val="1"/>
        </w:numPr>
        <w:bidi w:val="0"/>
        <w:ind w:right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  <w:lang w:val="en-US"/>
        </w:rPr>
      </w:pP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 xml:space="preserve">Understanding the </w:t>
      </w:r>
      <w:r>
        <w:rPr>
          <w:rFonts w:ascii="Helvetica Neue" w:cs="Calibri" w:hAnsi="Helvetica Neue" w:eastAsia="Calibri" w:hint="default"/>
          <w:color w:val="454545"/>
          <w:u w:color="454545"/>
          <w:rtl w:val="0"/>
          <w:lang w:val="en-US"/>
        </w:rPr>
        <w:t>“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questions behind the questions</w:t>
      </w:r>
      <w:r>
        <w:rPr>
          <w:rFonts w:ascii="Helvetica Neue" w:cs="Calibri" w:hAnsi="Helvetica Neue" w:eastAsia="Calibri" w:hint="default"/>
          <w:color w:val="454545"/>
          <w:u w:color="454545"/>
          <w:rtl w:val="0"/>
          <w:lang w:val="en-US"/>
        </w:rPr>
        <w:t xml:space="preserve">” 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in doctor patient interactions.</w:t>
      </w:r>
      <w:r>
        <w:rPr>
          <w:rFonts w:ascii="Helvetica Neue" w:cs="Calibri" w:hAnsi="Helvetica Neue" w:eastAsia="Calibri" w:hint="default"/>
          <w:color w:val="454545"/>
          <w:u w:color="454545"/>
          <w:rtl w:val="0"/>
          <w:lang w:val="en-US"/>
        </w:rPr>
        <w:t> </w:t>
      </w:r>
    </w:p>
    <w:p>
      <w:pPr>
        <w:pStyle w:val="Body"/>
        <w:numPr>
          <w:ilvl w:val="0"/>
          <w:numId w:val="1"/>
        </w:numPr>
        <w:bidi w:val="0"/>
        <w:ind w:right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  <w:lang w:val="en-US"/>
        </w:rPr>
      </w:pP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 xml:space="preserve">Creating simple, accessible and engaging videos </w:t>
      </w:r>
      <w:r>
        <w:rPr>
          <w:rFonts w:ascii="Helvetica Neue" w:cs="Calibri" w:hAnsi="Helvetica Neue" w:eastAsia="Calibri" w:hint="default"/>
          <w:color w:val="454545"/>
          <w:u w:color="454545"/>
          <w:rtl w:val="0"/>
          <w:lang w:val="en-US"/>
        </w:rPr>
        <w:t xml:space="preserve">– 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quickly and cheaply.</w:t>
      </w:r>
    </w:p>
    <w:p>
      <w:pPr>
        <w:pStyle w:val="Body"/>
        <w:numPr>
          <w:ilvl w:val="0"/>
          <w:numId w:val="1"/>
        </w:numPr>
        <w:bidi w:val="0"/>
        <w:ind w:right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  <w:lang w:val="en-US"/>
        </w:rPr>
      </w:pP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The best video length for engagement and education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.</w:t>
      </w:r>
    </w:p>
    <w:p>
      <w:pPr>
        <w:pStyle w:val="Body"/>
        <w:numPr>
          <w:ilvl w:val="0"/>
          <w:numId w:val="1"/>
        </w:numPr>
        <w:bidi w:val="0"/>
        <w:ind w:right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  <w:lang w:val="en-US"/>
        </w:rPr>
      </w:pP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 xml:space="preserve">The distribution process </w:t>
      </w:r>
      <w:r>
        <w:rPr>
          <w:rFonts w:ascii="Helvetica Neue" w:cs="Calibri" w:hAnsi="Helvetica Neue" w:eastAsia="Calibri" w:hint="default"/>
          <w:color w:val="454545"/>
          <w:u w:color="454545"/>
          <w:rtl w:val="0"/>
          <w:lang w:val="en-US"/>
        </w:rPr>
        <w:t xml:space="preserve">– 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 xml:space="preserve">how to make videos available to patients to create engagement, trust and understanding in a patient centred environment. </w:t>
      </w:r>
    </w:p>
    <w:p>
      <w:pPr>
        <w:pStyle w:val="Body"/>
        <w:numPr>
          <w:ilvl w:val="0"/>
          <w:numId w:val="1"/>
        </w:numPr>
        <w:bidi w:val="0"/>
        <w:ind w:right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  <w:lang w:val="en-US"/>
        </w:rPr>
      </w:pP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S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 xml:space="preserve">ocial media and other tools to identify needs and hone 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market messages.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454545"/>
          <w:u w:color="454545"/>
          <w:rtl w:val="0"/>
        </w:rPr>
      </w:pPr>
      <w:r>
        <w:rPr>
          <w:rFonts w:ascii="Calibri" w:cs="Calibri" w:hAnsi="Calibri" w:eastAsia="Calibri"/>
          <w:b w:val="1"/>
          <w:bCs w:val="1"/>
          <w:color w:val="454545"/>
          <w:u w:color="454545"/>
          <w:rtl w:val="0"/>
          <w:lang w:val="en-US"/>
        </w:rPr>
        <w:t>Method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color w:val="454545"/>
          <w:u w:color="454545"/>
          <w:rtl w:val="0"/>
        </w:rPr>
      </w:pPr>
      <w:r>
        <w:rPr>
          <w:rFonts w:ascii="Calibri" w:cs="Calibri" w:hAnsi="Calibri" w:eastAsia="Calibri"/>
          <w:color w:val="454545"/>
          <w:u w:color="454545"/>
          <w:rtl w:val="0"/>
          <w:lang w:val="en-US"/>
        </w:rPr>
        <w:t>Presentation is interactive with teaching by shared examples.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color w:val="454545"/>
          <w:u w:color="454545"/>
          <w:rtl w:val="0"/>
        </w:rPr>
      </w:pPr>
      <w:r>
        <w:rPr>
          <w:rFonts w:ascii="Calibri" w:cs="Calibri" w:hAnsi="Calibri" w:eastAsia="Calibri"/>
          <w:color w:val="454545"/>
          <w:u w:color="454545"/>
          <w:rtl w:val="0"/>
          <w:lang w:val="en-US"/>
        </w:rPr>
        <w:t xml:space="preserve">Participants are encouraged to </w:t>
      </w:r>
      <w:r>
        <w:rPr>
          <w:rFonts w:ascii="Calibri" w:cs="Calibri" w:hAnsi="Calibri" w:eastAsia="Calibri" w:hint="default"/>
          <w:color w:val="454545"/>
          <w:u w:color="454545"/>
          <w:rtl w:val="0"/>
          <w:lang w:val="en-US"/>
        </w:rPr>
        <w:t>“</w:t>
      </w:r>
      <w:r>
        <w:rPr>
          <w:rFonts w:ascii="Calibri" w:cs="Calibri" w:hAnsi="Calibri" w:eastAsia="Calibri"/>
          <w:color w:val="454545"/>
          <w:u w:color="454545"/>
          <w:rtl w:val="0"/>
          <w:lang w:val="en-US"/>
        </w:rPr>
        <w:t>try and test</w:t>
      </w:r>
      <w:r>
        <w:rPr>
          <w:rFonts w:ascii="Calibri" w:cs="Calibri" w:hAnsi="Calibri" w:eastAsia="Calibri" w:hint="default"/>
          <w:color w:val="454545"/>
          <w:u w:color="454545"/>
          <w:rtl w:val="0"/>
          <w:lang w:val="en-US"/>
        </w:rPr>
        <w:t xml:space="preserve">” </w:t>
      </w:r>
      <w:r>
        <w:rPr>
          <w:rFonts w:ascii="Calibri" w:cs="Calibri" w:hAnsi="Calibri" w:eastAsia="Calibri"/>
          <w:color w:val="454545"/>
          <w:u w:color="454545"/>
          <w:rtl w:val="0"/>
          <w:lang w:val="en-US"/>
        </w:rPr>
        <w:t>methods taught in their own practices. Each section can be easily added, each working synergistically.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454545"/>
          <w:u w:color="454545"/>
          <w:rtl w:val="0"/>
        </w:rPr>
      </w:pPr>
      <w:r>
        <w:rPr>
          <w:rFonts w:ascii="Calibri" w:cs="Calibri" w:hAnsi="Calibri" w:eastAsia="Calibri"/>
          <w:b w:val="1"/>
          <w:bCs w:val="1"/>
          <w:color w:val="454545"/>
          <w:u w:color="454545"/>
          <w:rtl w:val="0"/>
          <w:lang w:val="en-US"/>
        </w:rPr>
        <w:t>Results &amp; Conclusions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454545"/>
          <w:u w:color="454545"/>
          <w:rtl w:val="0"/>
        </w:rPr>
      </w:pP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 xml:space="preserve">This workshop will </w:t>
      </w:r>
      <w:r>
        <w:rPr>
          <w:rFonts w:ascii="Helvetica Neue" w:cs="Calibri" w:hAnsi="Helvetica Neue" w:eastAsia="Calibri"/>
          <w:color w:val="454545"/>
          <w:u w:color="454545"/>
          <w:rtl w:val="0"/>
          <w:lang w:val="en-US"/>
        </w:rPr>
        <w:t>introduce and encourage participants to consider multi media as an additional tool to reduce risk, educate and engage patients, fellow doctors and registrars beyond didactic 1:1 teaching.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454545"/>
          <w:u w:color="454545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454545"/>
          <w:u w:color="454545"/>
          <w:rtl w:val="0"/>
        </w:rPr>
      </w:pPr>
      <w:r>
        <w:rPr>
          <w:rFonts w:ascii="Calibri" w:cs="Calibri" w:hAnsi="Calibri" w:eastAsia="Calibri"/>
          <w:b w:val="1"/>
          <w:bCs w:val="1"/>
          <w:color w:val="454545"/>
          <w:u w:color="454545"/>
          <w:rtl w:val="0"/>
          <w:lang w:val="en-US"/>
        </w:rPr>
        <w:t>References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color w:val="454545"/>
          <w:u w:color="454545"/>
          <w:rtl w:val="0"/>
        </w:rPr>
      </w:pPr>
      <w:r>
        <w:rPr>
          <w:rStyle w:val="Hyperlink.0"/>
          <w:rFonts w:ascii="Calibri" w:cs="Calibri" w:hAnsi="Calibri" w:eastAsia="Calibri"/>
          <w:b w:val="1"/>
          <w:bCs w:val="1"/>
          <w:u w:color="000000"/>
          <w:rtl w:val="0"/>
        </w:rPr>
        <w:fldChar w:fldCharType="begin" w:fldLock="0"/>
      </w:r>
      <w:r>
        <w:rPr>
          <w:rStyle w:val="Hyperlink.0"/>
          <w:rFonts w:ascii="Calibri" w:cs="Calibri" w:hAnsi="Calibri" w:eastAsia="Calibri"/>
          <w:b w:val="1"/>
          <w:bCs w:val="1"/>
          <w:u w:color="000000"/>
          <w:rtl w:val="0"/>
        </w:rPr>
        <w:instrText xml:space="preserve"> HYPERLINK "http://onlinelibrary.wiley.com/doi/10.1111/jan.13194/full"</w:instrText>
      </w:r>
      <w:r>
        <w:rPr>
          <w:rStyle w:val="Hyperlink.0"/>
          <w:rFonts w:ascii="Calibri" w:cs="Calibri" w:hAnsi="Calibri" w:eastAsia="Calibri"/>
          <w:b w:val="1"/>
          <w:bCs w:val="1"/>
          <w:u w:color="000000"/>
          <w:rtl w:val="0"/>
        </w:rPr>
        <w:fldChar w:fldCharType="separate" w:fldLock="0"/>
      </w:r>
      <w:r>
        <w:rPr>
          <w:rStyle w:val="Hyperlink.0"/>
          <w:rFonts w:ascii="Calibri" w:cs="Calibri" w:hAnsi="Calibri" w:eastAsia="Calibri"/>
          <w:b w:val="1"/>
          <w:bCs w:val="1"/>
          <w:u w:color="000000"/>
          <w:rtl w:val="0"/>
          <w:lang w:val="en-US"/>
        </w:rPr>
        <w:t>http://onlinelibrary.wiley.com/doi/10.1111/jan.13194/full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fldChar w:fldCharType="end" w:fldLock="0"/>
      </w: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b w:val="1"/>
          <w:bCs w:val="1"/>
          <w:color w:val="454545"/>
          <w:u w:color="454545"/>
          <w:rtl w:val="0"/>
          <w:lang w:val="en-US"/>
        </w:rPr>
        <w:t>http://rc.rcjournal.com/content/62/2/163.short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