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DBF60" w14:textId="77777777" w:rsidR="005C4F93" w:rsidRDefault="005C4F93" w:rsidP="00D92154">
      <w:pPr>
        <w:spacing w:after="0" w:line="276" w:lineRule="auto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14:paraId="7BC3B9C9" w14:textId="77777777" w:rsidR="005C4F93" w:rsidRDefault="00D92154" w:rsidP="00D92154">
      <w:pPr>
        <w:spacing w:after="0" w:line="276" w:lineRule="auto"/>
        <w:rPr>
          <w:rFonts w:ascii="Arial" w:hAnsi="Arial" w:cs="Arial"/>
        </w:rPr>
      </w:pPr>
      <w:proofErr w:type="gramStart"/>
      <w:r>
        <w:rPr>
          <w:rFonts w:ascii="Arial" w:eastAsia="Arial" w:hAnsi="Arial" w:cs="Arial"/>
          <w:sz w:val="20"/>
        </w:rPr>
        <w:t>Prostate</w:t>
      </w:r>
      <w:proofErr w:type="gramEnd"/>
      <w:r>
        <w:rPr>
          <w:rFonts w:ascii="Arial" w:eastAsia="Arial" w:hAnsi="Arial" w:cs="Arial"/>
          <w:sz w:val="20"/>
        </w:rPr>
        <w:t xml:space="preserve"> artery Embolisation Assessment of Safety and </w:t>
      </w:r>
      <w:proofErr w:type="spellStart"/>
      <w:r w:rsidR="00A21CBF">
        <w:rPr>
          <w:rFonts w:ascii="Arial" w:eastAsia="Arial" w:hAnsi="Arial" w:cs="Arial"/>
          <w:sz w:val="20"/>
        </w:rPr>
        <w:t>efficac</w:t>
      </w:r>
      <w:r>
        <w:rPr>
          <w:rFonts w:ascii="Arial" w:eastAsia="Arial" w:hAnsi="Arial" w:cs="Arial"/>
          <w:sz w:val="20"/>
        </w:rPr>
        <w:t>Y</w:t>
      </w:r>
      <w:proofErr w:type="spellEnd"/>
      <w:r>
        <w:rPr>
          <w:rFonts w:ascii="Arial" w:eastAsia="Arial" w:hAnsi="Arial" w:cs="Arial"/>
          <w:sz w:val="20"/>
        </w:rPr>
        <w:t xml:space="preserve"> (P-EASY): A collaborative approach to Australia's first prospective prostate embolisation trial</w:t>
      </w:r>
    </w:p>
    <w:p w14:paraId="1EBB5426" w14:textId="77777777" w:rsidR="005C4F93" w:rsidRPr="005C4F93" w:rsidRDefault="005C4F93" w:rsidP="00D92154">
      <w:pPr>
        <w:spacing w:after="0" w:line="276" w:lineRule="auto"/>
        <w:rPr>
          <w:rFonts w:ascii="Arial" w:hAnsi="Arial" w:cs="Arial"/>
        </w:rPr>
      </w:pPr>
    </w:p>
    <w:p w14:paraId="139800A9" w14:textId="77777777" w:rsidR="005C4F93" w:rsidRPr="005C4F93" w:rsidRDefault="00634A5F" w:rsidP="00D9215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14:paraId="495E187A" w14:textId="77777777" w:rsidR="00D92154" w:rsidRPr="007411BB" w:rsidRDefault="00D92154" w:rsidP="00D9215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color w:val="262626"/>
          <w:sz w:val="20"/>
          <w:szCs w:val="20"/>
          <w:lang w:val="en-US"/>
        </w:rPr>
      </w:pPr>
      <w:r w:rsidRPr="00C5064D">
        <w:rPr>
          <w:rFonts w:ascii="Arial" w:hAnsi="Arial" w:cs="Arial"/>
          <w:b/>
          <w:bCs/>
          <w:i/>
          <w:color w:val="262626"/>
          <w:sz w:val="20"/>
          <w:szCs w:val="20"/>
          <w:lang w:val="en-US"/>
        </w:rPr>
        <w:t>N Brown1</w:t>
      </w:r>
      <w:r w:rsidRPr="007411BB">
        <w:rPr>
          <w:rFonts w:ascii="Arial" w:hAnsi="Arial" w:cs="Arial"/>
          <w:bCs/>
          <w:i/>
          <w:color w:val="262626"/>
          <w:sz w:val="20"/>
          <w:szCs w:val="20"/>
          <w:lang w:val="en-US"/>
        </w:rPr>
        <w:t>, D Walker1</w:t>
      </w:r>
      <w:r>
        <w:rPr>
          <w:rFonts w:ascii="Arial" w:hAnsi="Arial" w:cs="Arial"/>
          <w:bCs/>
          <w:i/>
          <w:color w:val="262626"/>
          <w:sz w:val="20"/>
          <w:szCs w:val="20"/>
          <w:lang w:val="en-US"/>
        </w:rPr>
        <w:t xml:space="preserve">, </w:t>
      </w:r>
      <w:r w:rsidRPr="007411BB">
        <w:rPr>
          <w:rFonts w:ascii="Arial" w:hAnsi="Arial" w:cs="Arial"/>
          <w:bCs/>
          <w:i/>
          <w:color w:val="262626"/>
          <w:sz w:val="20"/>
          <w:szCs w:val="20"/>
          <w:lang w:val="en-US"/>
        </w:rPr>
        <w:t xml:space="preserve">M </w:t>
      </w:r>
      <w:r>
        <w:rPr>
          <w:rFonts w:ascii="Arial" w:hAnsi="Arial" w:cs="Arial"/>
          <w:bCs/>
          <w:i/>
          <w:color w:val="262626"/>
          <w:sz w:val="20"/>
          <w:szCs w:val="20"/>
          <w:lang w:val="en-US"/>
        </w:rPr>
        <w:t>Pokorny2, J Yaxley2, B Kua2, N Dunglison2</w:t>
      </w:r>
      <w:r w:rsidRPr="007411BB">
        <w:rPr>
          <w:rFonts w:ascii="Arial" w:hAnsi="Arial" w:cs="Arial"/>
          <w:bCs/>
          <w:i/>
          <w:color w:val="262626"/>
          <w:sz w:val="20"/>
          <w:szCs w:val="20"/>
          <w:lang w:val="en-US"/>
        </w:rPr>
        <w:t>, T Gianduzzo2</w:t>
      </w:r>
      <w:r>
        <w:rPr>
          <w:rFonts w:ascii="Arial" w:hAnsi="Arial" w:cs="Arial"/>
          <w:bCs/>
          <w:i/>
          <w:color w:val="262626"/>
          <w:sz w:val="20"/>
          <w:szCs w:val="20"/>
          <w:lang w:val="en-US"/>
        </w:rPr>
        <w:t>, R Esler2, R McBean1</w:t>
      </w:r>
    </w:p>
    <w:p w14:paraId="39DDEC4B" w14:textId="77777777" w:rsidR="00D92154" w:rsidRDefault="00D92154" w:rsidP="00D9215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0"/>
          <w:szCs w:val="20"/>
          <w:lang w:val="en-US"/>
        </w:rPr>
      </w:pPr>
      <w:r w:rsidRPr="00BA0354">
        <w:rPr>
          <w:rFonts w:ascii="Arial" w:hAnsi="Arial" w:cs="Arial"/>
          <w:color w:val="262626"/>
          <w:sz w:val="20"/>
          <w:szCs w:val="20"/>
          <w:lang w:val="en-US"/>
        </w:rPr>
        <w:t>1</w:t>
      </w:r>
      <w:r>
        <w:rPr>
          <w:rFonts w:ascii="Arial" w:hAnsi="Arial" w:cs="Arial"/>
          <w:color w:val="262626"/>
          <w:sz w:val="20"/>
          <w:szCs w:val="20"/>
          <w:lang w:val="en-US"/>
        </w:rPr>
        <w:t>.</w:t>
      </w:r>
      <w:r w:rsidRPr="00BA0354">
        <w:rPr>
          <w:rFonts w:ascii="Arial" w:hAnsi="Arial" w:cs="Arial"/>
          <w:color w:val="262626"/>
          <w:sz w:val="20"/>
          <w:szCs w:val="20"/>
          <w:lang w:val="en-US"/>
        </w:rPr>
        <w:t>Interventional Radiology, Wesley Medical Imaging, Brisbane, Queensland, Australia</w:t>
      </w:r>
    </w:p>
    <w:p w14:paraId="11BEC946" w14:textId="77777777" w:rsidR="005C4F93" w:rsidRPr="00D92154" w:rsidRDefault="00D92154" w:rsidP="00D9215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0"/>
          <w:szCs w:val="20"/>
          <w:lang w:val="en-US"/>
        </w:rPr>
      </w:pPr>
      <w:r w:rsidRPr="00BA0354">
        <w:rPr>
          <w:rFonts w:ascii="Arial" w:hAnsi="Arial" w:cs="Arial"/>
          <w:color w:val="262626"/>
          <w:sz w:val="20"/>
          <w:szCs w:val="20"/>
          <w:lang w:val="en-US"/>
        </w:rPr>
        <w:t>2</w:t>
      </w:r>
      <w:r>
        <w:rPr>
          <w:rFonts w:ascii="Arial" w:hAnsi="Arial" w:cs="Arial"/>
          <w:color w:val="262626"/>
          <w:sz w:val="20"/>
          <w:szCs w:val="20"/>
          <w:lang w:val="en-US"/>
        </w:rPr>
        <w:t xml:space="preserve">. </w:t>
      </w:r>
      <w:r w:rsidRPr="00BA0354">
        <w:rPr>
          <w:rFonts w:ascii="Arial" w:hAnsi="Arial" w:cs="Arial"/>
          <w:color w:val="262626"/>
          <w:sz w:val="20"/>
          <w:szCs w:val="20"/>
          <w:lang w:val="en-US"/>
        </w:rPr>
        <w:t>Urology Craft Group, Wesley Hospital, Brisbane, Queensland, Australia</w:t>
      </w:r>
    </w:p>
    <w:p w14:paraId="5F3C359B" w14:textId="77777777" w:rsidR="00E969FA" w:rsidRPr="003F534D" w:rsidRDefault="00E969FA" w:rsidP="00D92154">
      <w:pPr>
        <w:spacing w:after="0" w:line="276" w:lineRule="auto"/>
        <w:rPr>
          <w:rFonts w:ascii="Arial" w:hAnsi="Arial" w:cs="Arial"/>
        </w:rPr>
      </w:pPr>
      <w:bookmarkStart w:id="0" w:name="_GoBack"/>
      <w:bookmarkEnd w:id="0"/>
    </w:p>
    <w:p w14:paraId="23E15779" w14:textId="77777777" w:rsidR="00E969FA" w:rsidRPr="003F534D" w:rsidRDefault="00E969FA" w:rsidP="00D92154">
      <w:pPr>
        <w:spacing w:after="0" w:line="276" w:lineRule="auto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14:paraId="16E58078" w14:textId="77777777" w:rsidR="00D92154" w:rsidRDefault="00D92154" w:rsidP="00D9215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color w:val="262626"/>
          <w:sz w:val="20"/>
          <w:szCs w:val="20"/>
          <w:lang w:val="en-US"/>
        </w:rPr>
      </w:pPr>
      <w:r w:rsidRPr="00BA0354">
        <w:rPr>
          <w:rFonts w:ascii="Arial" w:hAnsi="Arial" w:cs="Arial"/>
          <w:bCs/>
          <w:color w:val="262626"/>
          <w:sz w:val="20"/>
          <w:szCs w:val="20"/>
          <w:lang w:val="en-US"/>
        </w:rPr>
        <w:t>New treatment options are being developed for men with benign prostatic enlargement who fail medical therapy and are unsuitable for surgery</w:t>
      </w:r>
      <w:r>
        <w:rPr>
          <w:rFonts w:ascii="Arial" w:hAnsi="Arial" w:cs="Arial"/>
          <w:bCs/>
          <w:color w:val="262626"/>
          <w:sz w:val="20"/>
          <w:szCs w:val="20"/>
          <w:lang w:val="en-US"/>
        </w:rPr>
        <w:t>.</w:t>
      </w:r>
      <w:r w:rsidRPr="00BA0354">
        <w:rPr>
          <w:rFonts w:ascii="Arial" w:hAnsi="Arial" w:cs="Arial"/>
          <w:bCs/>
          <w:color w:val="262626"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color w:val="262626"/>
          <w:sz w:val="20"/>
          <w:szCs w:val="20"/>
          <w:lang w:val="en-US"/>
        </w:rPr>
        <w:t xml:space="preserve">One such treatment gaining popularity is prostatic artery embolization. </w:t>
      </w:r>
    </w:p>
    <w:p w14:paraId="7D7E4851" w14:textId="77777777" w:rsidR="00A21CBF" w:rsidRDefault="00A21CBF" w:rsidP="00D9215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0"/>
          <w:szCs w:val="20"/>
          <w:lang w:val="en-US"/>
        </w:rPr>
      </w:pPr>
    </w:p>
    <w:p w14:paraId="70A94BA0" w14:textId="77777777" w:rsidR="00D92154" w:rsidRDefault="00E969FA" w:rsidP="00D9215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29C7313D" w14:textId="77777777" w:rsidR="00D92154" w:rsidRPr="00D92154" w:rsidRDefault="00D92154" w:rsidP="00D9215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62626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</w:rPr>
        <w:t xml:space="preserve">To assess the safety and short-term efficacy of prostate artery embolisation (PAE), an emerging </w:t>
      </w:r>
      <w:proofErr w:type="gramStart"/>
      <w:r>
        <w:rPr>
          <w:rFonts w:ascii="Arial" w:eastAsia="Arial" w:hAnsi="Arial" w:cs="Arial"/>
          <w:sz w:val="20"/>
        </w:rPr>
        <w:t>minimally-invasive</w:t>
      </w:r>
      <w:proofErr w:type="gramEnd"/>
      <w:r>
        <w:rPr>
          <w:rFonts w:ascii="Arial" w:eastAsia="Arial" w:hAnsi="Arial" w:cs="Arial"/>
          <w:sz w:val="20"/>
        </w:rPr>
        <w:t xml:space="preserve"> treatment for </w:t>
      </w:r>
      <w:r w:rsidR="00A21CBF" w:rsidRPr="00BA0354">
        <w:rPr>
          <w:rFonts w:ascii="Arial" w:hAnsi="Arial" w:cs="Arial"/>
          <w:color w:val="262626"/>
          <w:sz w:val="20"/>
          <w:szCs w:val="20"/>
          <w:lang w:val="en-US"/>
        </w:rPr>
        <w:t xml:space="preserve">lower urinary tract symptoms (LUTS) caused by </w:t>
      </w:r>
      <w:r>
        <w:rPr>
          <w:rFonts w:ascii="Arial" w:eastAsia="Arial" w:hAnsi="Arial" w:cs="Arial"/>
          <w:sz w:val="20"/>
        </w:rPr>
        <w:t>benign prostate hyperplasia (BPH).</w:t>
      </w:r>
    </w:p>
    <w:p w14:paraId="59B8AB3A" w14:textId="77777777" w:rsidR="00D92154" w:rsidRDefault="00D92154" w:rsidP="00D92154">
      <w:pPr>
        <w:pStyle w:val="NoSpacing"/>
        <w:spacing w:line="276" w:lineRule="auto"/>
        <w:rPr>
          <w:rFonts w:ascii="Arial" w:eastAsia="Arial" w:hAnsi="Arial" w:cs="Arial"/>
          <w:sz w:val="20"/>
        </w:rPr>
      </w:pPr>
    </w:p>
    <w:p w14:paraId="1C8DC782" w14:textId="77777777" w:rsidR="00E969FA" w:rsidRPr="00D92154" w:rsidRDefault="00E969FA" w:rsidP="00D92154">
      <w:pPr>
        <w:pStyle w:val="NoSpacing"/>
        <w:spacing w:line="276" w:lineRule="auto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>Method</w:t>
      </w:r>
    </w:p>
    <w:p w14:paraId="062B8E3D" w14:textId="77777777" w:rsidR="00D92154" w:rsidRDefault="00D92154" w:rsidP="00D92154">
      <w:pPr>
        <w:spacing w:after="0" w:line="276" w:lineRule="auto"/>
        <w:rPr>
          <w:rFonts w:ascii="Arial" w:eastAsia="Arial" w:hAnsi="Arial" w:cs="Arial"/>
          <w:b/>
          <w:sz w:val="20"/>
        </w:rPr>
      </w:pPr>
      <w:proofErr w:type="gramStart"/>
      <w:r>
        <w:rPr>
          <w:rFonts w:ascii="Arial" w:eastAsia="Arial" w:hAnsi="Arial" w:cs="Arial"/>
          <w:sz w:val="20"/>
        </w:rPr>
        <w:t>Men with benign prostate hyperplasia (prostate size &gt;40 cc) and moderate to severe lower urinary tract symptoms, who had failed medical therapy and declined or where unsuitable for surgical intervention were recruited to this study.</w:t>
      </w:r>
      <w:proofErr w:type="gramEnd"/>
      <w:r>
        <w:rPr>
          <w:rFonts w:ascii="Arial" w:eastAsia="Arial" w:hAnsi="Arial" w:cs="Arial"/>
          <w:sz w:val="20"/>
        </w:rPr>
        <w:t xml:space="preserve"> All men underwent baseline clinical assessment, prostate artery embolisation and follow-up to three months post-procedure. The primary endpoints of this study were safety and feasibility. Safety was measured by the incidence of post-procedure adverse events and feasibility was defined by technical success. Secondary endpoints were clinical success at three months post-PAE, measured by changes in International Prostate Symptom Score (IPSS) and quality of life (</w:t>
      </w:r>
      <w:proofErr w:type="spellStart"/>
      <w:r>
        <w:rPr>
          <w:rFonts w:ascii="Arial" w:eastAsia="Arial" w:hAnsi="Arial" w:cs="Arial"/>
          <w:sz w:val="20"/>
        </w:rPr>
        <w:t>QoL</w:t>
      </w:r>
      <w:proofErr w:type="spellEnd"/>
      <w:r>
        <w:rPr>
          <w:rFonts w:ascii="Arial" w:eastAsia="Arial" w:hAnsi="Arial" w:cs="Arial"/>
          <w:sz w:val="20"/>
        </w:rPr>
        <w:t>) score.</w:t>
      </w:r>
    </w:p>
    <w:p w14:paraId="4FFC5CA0" w14:textId="77777777" w:rsidR="00D92154" w:rsidRDefault="00D92154" w:rsidP="00D92154">
      <w:pPr>
        <w:spacing w:after="0" w:line="276" w:lineRule="auto"/>
        <w:rPr>
          <w:rFonts w:ascii="Arial" w:hAnsi="Arial" w:cs="Arial"/>
        </w:rPr>
      </w:pPr>
    </w:p>
    <w:p w14:paraId="1F7A553F" w14:textId="77777777" w:rsidR="00E969FA" w:rsidRPr="003F534D" w:rsidRDefault="00E969FA" w:rsidP="00D92154">
      <w:pPr>
        <w:spacing w:after="0" w:line="276" w:lineRule="auto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332513AD" w14:textId="77777777" w:rsidR="00E969FA" w:rsidRPr="003F534D" w:rsidRDefault="00D92154" w:rsidP="00D92154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eastAsia="Arial" w:hAnsi="Arial" w:cs="Arial"/>
          <w:sz w:val="20"/>
        </w:rPr>
        <w:t xml:space="preserve">No serious adverse events were observed in this study and all procedures were technically successful. For non-catheterised patients, overall clinical success was reported in 95.1% of cases (p&lt;0.0001). On average, IPSS decreased by 80.7% (p&lt;0.0001) and </w:t>
      </w:r>
      <w:proofErr w:type="spellStart"/>
      <w:r>
        <w:rPr>
          <w:rFonts w:ascii="Arial" w:eastAsia="Arial" w:hAnsi="Arial" w:cs="Arial"/>
          <w:sz w:val="20"/>
        </w:rPr>
        <w:t>QoL</w:t>
      </w:r>
      <w:proofErr w:type="spellEnd"/>
      <w:r>
        <w:rPr>
          <w:rFonts w:ascii="Arial" w:eastAsia="Arial" w:hAnsi="Arial" w:cs="Arial"/>
          <w:sz w:val="20"/>
        </w:rPr>
        <w:t xml:space="preserve"> scores improved by 80.6% (p&lt;0.0001).</w:t>
      </w:r>
    </w:p>
    <w:p w14:paraId="307099C2" w14:textId="77777777" w:rsidR="00E969FA" w:rsidRPr="003F534D" w:rsidRDefault="00E969FA" w:rsidP="00D92154">
      <w:pPr>
        <w:pStyle w:val="NoSpacing"/>
        <w:spacing w:line="276" w:lineRule="auto"/>
        <w:rPr>
          <w:rFonts w:ascii="Arial" w:hAnsi="Arial" w:cs="Arial"/>
        </w:rPr>
      </w:pPr>
    </w:p>
    <w:p w14:paraId="6AC76D02" w14:textId="77777777" w:rsidR="00E969FA" w:rsidRPr="003F534D" w:rsidRDefault="00E969FA" w:rsidP="00D92154">
      <w:pPr>
        <w:spacing w:after="0" w:line="276" w:lineRule="auto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7FADD524" w14:textId="77777777" w:rsidR="00A21CBF" w:rsidRPr="00BA0354" w:rsidRDefault="00A21CBF" w:rsidP="00A21CB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</w:rPr>
        <w:t xml:space="preserve">Prostate artery embolisation is a technically feasible and safe procedure. </w:t>
      </w:r>
      <w:r w:rsidRPr="00BA0354">
        <w:rPr>
          <w:rFonts w:ascii="Arial" w:hAnsi="Arial" w:cs="Arial"/>
          <w:color w:val="262626"/>
          <w:sz w:val="20"/>
          <w:szCs w:val="20"/>
          <w:lang w:val="en-US"/>
        </w:rPr>
        <w:t>Early data indicate PAE ca</w:t>
      </w:r>
      <w:r>
        <w:rPr>
          <w:rFonts w:ascii="Arial" w:hAnsi="Arial" w:cs="Arial"/>
          <w:color w:val="262626"/>
          <w:sz w:val="20"/>
          <w:szCs w:val="20"/>
          <w:lang w:val="en-US"/>
        </w:rPr>
        <w:t>n significantly reduce symptoms and</w:t>
      </w:r>
      <w:r w:rsidRPr="00BA0354">
        <w:rPr>
          <w:rFonts w:ascii="Arial" w:hAnsi="Arial" w:cs="Arial"/>
          <w:color w:val="262626"/>
          <w:sz w:val="20"/>
          <w:szCs w:val="20"/>
          <w:lang w:val="en-US"/>
        </w:rPr>
        <w:t xml:space="preserve"> improve quality of life</w:t>
      </w:r>
      <w:r>
        <w:rPr>
          <w:rFonts w:ascii="Arial" w:hAnsi="Arial" w:cs="Arial"/>
          <w:color w:val="262626"/>
          <w:sz w:val="20"/>
          <w:szCs w:val="20"/>
          <w:lang w:val="en-US"/>
        </w:rPr>
        <w:t>, decrease</w:t>
      </w:r>
      <w:r w:rsidRPr="00BA0354">
        <w:rPr>
          <w:rFonts w:ascii="Arial" w:hAnsi="Arial" w:cs="Arial"/>
          <w:color w:val="262626"/>
          <w:sz w:val="20"/>
          <w:szCs w:val="20"/>
          <w:lang w:val="en-US"/>
        </w:rPr>
        <w:t xml:space="preserve"> prostate size</w:t>
      </w:r>
      <w:r>
        <w:rPr>
          <w:rFonts w:ascii="Arial" w:hAnsi="Arial" w:cs="Arial"/>
          <w:color w:val="262626"/>
          <w:sz w:val="20"/>
          <w:szCs w:val="20"/>
          <w:lang w:val="en-US"/>
        </w:rPr>
        <w:t>, improve urinary flow and reduce post-void residual urine volumes.</w:t>
      </w:r>
      <w:r>
        <w:rPr>
          <w:rFonts w:ascii="Arial" w:eastAsia="Arial" w:hAnsi="Arial" w:cs="Arial"/>
          <w:sz w:val="20"/>
        </w:rPr>
        <w:t xml:space="preserve"> High rates of patient satisfaction were achieved in this study along with significant reductions in prostate symptoms and improvements in </w:t>
      </w:r>
      <w:proofErr w:type="spellStart"/>
      <w:r>
        <w:rPr>
          <w:rFonts w:ascii="Arial" w:eastAsia="Arial" w:hAnsi="Arial" w:cs="Arial"/>
          <w:sz w:val="20"/>
        </w:rPr>
        <w:t>QoL</w:t>
      </w:r>
      <w:proofErr w:type="spellEnd"/>
      <w:r>
        <w:rPr>
          <w:rFonts w:ascii="Arial" w:eastAsia="Arial" w:hAnsi="Arial" w:cs="Arial"/>
          <w:sz w:val="20"/>
        </w:rPr>
        <w:t>.</w:t>
      </w:r>
      <w:r>
        <w:rPr>
          <w:rFonts w:ascii="Arial" w:hAnsi="Arial" w:cs="Arial"/>
          <w:color w:val="262626"/>
          <w:sz w:val="20"/>
          <w:szCs w:val="20"/>
          <w:lang w:val="en-US"/>
        </w:rPr>
        <w:t xml:space="preserve">Recruitment for new studies comparing PAE to first-line medical therapy with urodynamic assessment </w:t>
      </w:r>
      <w:proofErr w:type="gramStart"/>
      <w:r>
        <w:rPr>
          <w:rFonts w:ascii="Arial" w:hAnsi="Arial" w:cs="Arial"/>
          <w:color w:val="262626"/>
          <w:sz w:val="20"/>
          <w:szCs w:val="20"/>
          <w:lang w:val="en-US"/>
        </w:rPr>
        <w:t>is</w:t>
      </w:r>
      <w:proofErr w:type="gramEnd"/>
      <w:r>
        <w:rPr>
          <w:rFonts w:ascii="Arial" w:hAnsi="Arial" w:cs="Arial"/>
          <w:color w:val="262626"/>
          <w:sz w:val="20"/>
          <w:szCs w:val="20"/>
          <w:lang w:val="en-US"/>
        </w:rPr>
        <w:t xml:space="preserve"> ongoing. </w:t>
      </w:r>
    </w:p>
    <w:p w14:paraId="4AD6CA2D" w14:textId="77777777" w:rsidR="00E969FA" w:rsidRPr="003F534D" w:rsidRDefault="00E969FA" w:rsidP="00D92154">
      <w:pPr>
        <w:pStyle w:val="NoSpacing"/>
        <w:spacing w:line="276" w:lineRule="auto"/>
        <w:rPr>
          <w:rFonts w:ascii="Arial" w:hAnsi="Arial" w:cs="Arial"/>
        </w:rPr>
      </w:pPr>
    </w:p>
    <w:p w14:paraId="2D17032E" w14:textId="77777777" w:rsidR="00E969FA" w:rsidRPr="003F534D" w:rsidRDefault="00E969FA" w:rsidP="00D92154">
      <w:pPr>
        <w:pStyle w:val="NoSpacing"/>
        <w:spacing w:line="276" w:lineRule="auto"/>
        <w:rPr>
          <w:rFonts w:ascii="Arial" w:hAnsi="Arial" w:cs="Arial"/>
        </w:rPr>
      </w:pPr>
    </w:p>
    <w:p w14:paraId="66E1C597" w14:textId="77777777" w:rsidR="007A3219" w:rsidRPr="00F12827" w:rsidRDefault="00E969FA" w:rsidP="00D92154">
      <w:pPr>
        <w:spacing w:after="0" w:line="276" w:lineRule="auto"/>
        <w:rPr>
          <w:rFonts w:cs="Arial"/>
        </w:rPr>
      </w:pPr>
      <w:r w:rsidRPr="003F534D">
        <w:rPr>
          <w:rFonts w:ascii="Arial" w:hAnsi="Arial" w:cs="Arial"/>
          <w:b/>
        </w:rPr>
        <w:t xml:space="preserve">References </w:t>
      </w:r>
      <w:r w:rsidRPr="003F534D">
        <w:rPr>
          <w:rFonts w:ascii="Arial" w:hAnsi="Arial" w:cs="Arial"/>
        </w:rPr>
        <w:t>(If applicable)</w:t>
      </w: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28978" w14:textId="77777777" w:rsidR="00C5064D" w:rsidRDefault="00C5064D" w:rsidP="00DB6276">
      <w:pPr>
        <w:spacing w:after="0" w:line="240" w:lineRule="auto"/>
      </w:pPr>
      <w:r>
        <w:separator/>
      </w:r>
    </w:p>
  </w:endnote>
  <w:endnote w:type="continuationSeparator" w:id="0">
    <w:p w14:paraId="62D25459" w14:textId="77777777" w:rsidR="00C5064D" w:rsidRDefault="00C5064D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60F70" w14:textId="77777777" w:rsidR="00C5064D" w:rsidRDefault="00C5064D" w:rsidP="00DB6276">
      <w:pPr>
        <w:spacing w:after="0" w:line="240" w:lineRule="auto"/>
      </w:pPr>
      <w:r>
        <w:separator/>
      </w:r>
    </w:p>
  </w:footnote>
  <w:footnote w:type="continuationSeparator" w:id="0">
    <w:p w14:paraId="2824D42B" w14:textId="77777777" w:rsidR="00C5064D" w:rsidRDefault="00C5064D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A005C"/>
    <w:rsid w:val="000D1EB3"/>
    <w:rsid w:val="00131A8A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10D1A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87FF6"/>
    <w:rsid w:val="006D10CF"/>
    <w:rsid w:val="007340C2"/>
    <w:rsid w:val="007A3219"/>
    <w:rsid w:val="007A4975"/>
    <w:rsid w:val="008426B4"/>
    <w:rsid w:val="00866BF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1CBF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3505E"/>
    <w:rsid w:val="00C4224F"/>
    <w:rsid w:val="00C426BE"/>
    <w:rsid w:val="00C5064D"/>
    <w:rsid w:val="00CA4098"/>
    <w:rsid w:val="00CE681C"/>
    <w:rsid w:val="00D22221"/>
    <w:rsid w:val="00D56905"/>
    <w:rsid w:val="00D675D7"/>
    <w:rsid w:val="00D75A93"/>
    <w:rsid w:val="00D91638"/>
    <w:rsid w:val="00D92154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94F6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Nicholas Brown</cp:lastModifiedBy>
  <cp:revision>3</cp:revision>
  <dcterms:created xsi:type="dcterms:W3CDTF">2018-03-04T10:55:00Z</dcterms:created>
  <dcterms:modified xsi:type="dcterms:W3CDTF">2018-03-04T11:09:00Z</dcterms:modified>
</cp:coreProperties>
</file>