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w:cs="Arial" w:hAnsi="Arial" w:eastAsia="Arial"/>
          <w:b w:val="0"/>
          <w:bCs w:val="0"/>
          <w:outline w:val="0"/>
          <w:color w:val="000000"/>
          <w:sz w:val="20"/>
          <w:szCs w:val="20"/>
          <w:shd w:val="clear" w:color="auto" w:fill="ffffff"/>
          <w:rtl w:val="0"/>
          <w14:textFill>
            <w14:solidFill>
              <w14:srgbClr w14:val="000000">
                <w14:alpha w14:val="15294"/>
              </w14:srgbClr>
            </w14:solidFill>
          </w14:textFill>
        </w:rPr>
      </w:pPr>
      <w:r>
        <w:rPr>
          <w:rFonts w:ascii="Arial" w:hAnsi="Arial"/>
          <w:b w:val="1"/>
          <w:bCs w:val="1"/>
          <w:outline w:val="0"/>
          <w:color w:val="000000"/>
          <w:sz w:val="20"/>
          <w:szCs w:val="20"/>
          <w:shd w:val="clear" w:color="auto" w:fill="ffffff"/>
          <w:rtl w:val="0"/>
          <w:lang w:val="en-US"/>
          <w14:textFill>
            <w14:solidFill>
              <w14:srgbClr w14:val="000000">
                <w14:alpha w14:val="15294"/>
              </w14:srgbClr>
            </w14:solidFill>
          </w14:textFill>
        </w:rPr>
        <w:t>Presentation title</w:t>
      </w:r>
      <w:r>
        <w:rPr>
          <w:rFonts w:ascii="Arial" w:hAnsi="Arial" w:hint="default"/>
          <w:b w:val="0"/>
          <w:bCs w:val="0"/>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A new program to improve chronic kidney disease in general practice</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r>
        <w:rPr>
          <w:rFonts w:ascii="Arial" w:cs="Arial" w:hAnsi="Arial" w:eastAsia="Arial"/>
          <w:outline w:val="0"/>
          <w:color w:val="000000"/>
          <w:sz w:val="20"/>
          <w:szCs w:val="20"/>
          <w:shd w:val="clear" w:color="auto" w:fill="ffffff"/>
          <w:rtl w:val="0"/>
          <w14:textFill>
            <w14:solidFill>
              <w14:srgbClr w14:val="000000"/>
            </w14:solidFill>
          </w14:textFill>
        </w:rPr>
        <w:br w:type="textWrapping"/>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b w:val="0"/>
          <w:bCs w:val="0"/>
          <w:outline w:val="0"/>
          <w:color w:val="000000"/>
          <w:sz w:val="20"/>
          <w:szCs w:val="20"/>
          <w:shd w:val="clear" w:color="auto" w:fill="ffffff"/>
          <w:rtl w:val="0"/>
          <w14:textFill>
            <w14:solidFill>
              <w14:srgbClr w14:val="000000">
                <w14:alpha w14:val="15294"/>
              </w14:srgbClr>
            </w14:solidFill>
          </w14:textFill>
        </w:rPr>
      </w:pPr>
      <w:r>
        <w:rPr>
          <w:rFonts w:ascii="Arial" w:hAnsi="Arial"/>
          <w:b w:val="1"/>
          <w:bCs w:val="1"/>
          <w:outline w:val="0"/>
          <w:color w:val="000000"/>
          <w:sz w:val="20"/>
          <w:szCs w:val="20"/>
          <w:shd w:val="clear" w:color="auto" w:fill="ffffff"/>
          <w:rtl w:val="0"/>
          <w:lang w:val="en-US"/>
          <w14:textFill>
            <w14:solidFill>
              <w14:srgbClr w14:val="000000">
                <w14:alpha w14:val="15294"/>
              </w14:srgbClr>
            </w14:solidFill>
          </w14:textFill>
        </w:rPr>
        <w:t>Explain why your paper is relevant, important and of interest to GP22 participants</w:t>
      </w:r>
      <w:r>
        <w:rPr>
          <w:rFonts w:ascii="Arial" w:hAnsi="Arial" w:hint="default"/>
          <w:b w:val="0"/>
          <w:bCs w:val="0"/>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The BEACH study estimated that to cover 75% of problems managed in General Practice, GPs needed to have knowledge of over 100 conditions (1). Electronic clinical decision support (eCDS) tools aim to streamline this knowledge but create their own unique challenges. Future Health Today (FHT) is a new technology platform that integrates with clinical software to provide point of care eCDS.</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r>
        <w:rPr>
          <w:rFonts w:ascii="Arial" w:cs="Arial" w:hAnsi="Arial" w:eastAsia="Arial"/>
          <w:outline w:val="0"/>
          <w:color w:val="000000"/>
          <w:sz w:val="20"/>
          <w:szCs w:val="20"/>
          <w:shd w:val="clear" w:color="auto" w:fill="ffffff"/>
          <w:rtl w:val="0"/>
          <w14:textFill>
            <w14:solidFill>
              <w14:srgbClr w14:val="000000"/>
            </w14:solidFill>
          </w14:textFill>
        </w:rPr>
        <w:br w:type="textWrapping"/>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b w:val="0"/>
          <w:bCs w:val="0"/>
          <w:outline w:val="0"/>
          <w:color w:val="000000"/>
          <w:sz w:val="20"/>
          <w:szCs w:val="20"/>
          <w:shd w:val="clear" w:color="auto" w:fill="ffffff"/>
          <w:rtl w:val="0"/>
          <w14:textFill>
            <w14:solidFill>
              <w14:srgbClr w14:val="000000">
                <w14:alpha w14:val="15294"/>
              </w14:srgbClr>
            </w14:solidFill>
          </w14:textFill>
        </w:rPr>
      </w:pPr>
      <w:r>
        <w:rPr>
          <w:rFonts w:ascii="Arial" w:hAnsi="Arial"/>
          <w:b w:val="1"/>
          <w:bCs w:val="1"/>
          <w:outline w:val="0"/>
          <w:color w:val="000000"/>
          <w:sz w:val="20"/>
          <w:szCs w:val="20"/>
          <w:shd w:val="clear" w:color="auto" w:fill="ffffff"/>
          <w:rtl w:val="0"/>
          <w:lang w:val="en-US"/>
          <w14:textFill>
            <w14:solidFill>
              <w14:srgbClr w14:val="000000">
                <w14:alpha w14:val="15294"/>
              </w14:srgbClr>
            </w14:solidFill>
          </w14:textFill>
        </w:rPr>
        <w:t>Take home message</w:t>
      </w:r>
      <w:r>
        <w:rPr>
          <w:rFonts w:ascii="Arial" w:hAnsi="Arial" w:hint="default"/>
          <w:b w:val="1"/>
          <w:bCs w:val="1"/>
          <w:outline w:val="0"/>
          <w:color w:val="000000"/>
          <w:sz w:val="20"/>
          <w:szCs w:val="20"/>
          <w:shd w:val="clear" w:color="auto" w:fill="ffffff"/>
          <w:rtl w:val="0"/>
          <w14:textFill>
            <w14:solidFill>
              <w14:srgbClr w14:val="000000">
                <w14:alpha w14:val="15294"/>
              </w14:srgbClr>
            </w14:solidFill>
          </w14:textFill>
        </w:rPr>
        <w:t> </w:t>
      </w:r>
      <w:r>
        <w:rPr>
          <w:rFonts w:ascii="Arial" w:hAnsi="Arial" w:hint="default"/>
          <w:b w:val="0"/>
          <w:bCs w:val="0"/>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2"/>
        </w:numPr>
        <w:bidi w:val="0"/>
        <w:spacing w:before="0" w:line="240" w:lineRule="auto"/>
        <w:ind w:right="0"/>
        <w:jc w:val="left"/>
        <w:rPr>
          <w:rFonts w:ascii="Arial" w:hAnsi="Arial"/>
          <w:outline w:val="0"/>
          <w:color w:val="000000"/>
          <w:sz w:val="20"/>
          <w:szCs w:val="20"/>
          <w:shd w:val="clear" w:color="auto" w:fill="ffffff"/>
          <w:rtl w:val="0"/>
          <w:lang w:val="en-US"/>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Development and regulation of eCDS has been identified as a priority by the Department of Health and the RACGP.</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2"/>
        </w:numPr>
        <w:bidi w:val="0"/>
        <w:spacing w:before="0" w:line="240" w:lineRule="auto"/>
        <w:ind w:right="0"/>
        <w:jc w:val="left"/>
        <w:rPr>
          <w:rFonts w:ascii="Arial" w:hAnsi="Arial"/>
          <w:outline w:val="0"/>
          <w:color w:val="000000"/>
          <w:sz w:val="20"/>
          <w:szCs w:val="20"/>
          <w:shd w:val="clear" w:color="auto" w:fill="ffffff"/>
          <w:rtl w:val="0"/>
          <w:lang w:val="en-US"/>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Previously identified barriers with eCDS tools include ease of access and integration into workflow.</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2"/>
        </w:numPr>
        <w:bidi w:val="0"/>
        <w:spacing w:before="0" w:line="240" w:lineRule="auto"/>
        <w:ind w:right="0"/>
        <w:jc w:val="left"/>
        <w:rPr>
          <w:rFonts w:ascii="Arial" w:hAnsi="Arial"/>
          <w:outline w:val="0"/>
          <w:color w:val="000000"/>
          <w:sz w:val="20"/>
          <w:szCs w:val="20"/>
          <w:shd w:val="clear" w:color="auto" w:fill="ffffff"/>
          <w:rtl w:val="0"/>
          <w:lang w:val="en-US"/>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This project aims to keep general practitioners at the forefront of implementation and optimisation, to ensure the technologies are appropriate to the primary care setting and have the best chance of uptake as well as improvement in clinical outcome.</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r>
        <w:rPr>
          <w:rFonts w:ascii="Arial" w:cs="Arial" w:hAnsi="Arial" w:eastAsia="Arial"/>
          <w:outline w:val="0"/>
          <w:color w:val="000000"/>
          <w:sz w:val="20"/>
          <w:szCs w:val="20"/>
          <w:shd w:val="clear" w:color="auto" w:fill="ffffff"/>
          <w:rtl w:val="0"/>
          <w14:textFill>
            <w14:solidFill>
              <w14:srgbClr w14:val="000000"/>
            </w14:solidFill>
          </w14:textFill>
        </w:rPr>
        <w:br w:type="textWrapping"/>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b w:val="0"/>
          <w:bCs w:val="0"/>
          <w:outline w:val="0"/>
          <w:color w:val="000000"/>
          <w:sz w:val="20"/>
          <w:szCs w:val="20"/>
          <w:shd w:val="clear" w:color="auto" w:fill="ffffff"/>
          <w:rtl w:val="0"/>
          <w14:textFill>
            <w14:solidFill>
              <w14:srgbClr w14:val="000000">
                <w14:alpha w14:val="15294"/>
              </w14:srgbClr>
            </w14:solidFill>
          </w14:textFill>
        </w:rPr>
      </w:pPr>
      <w:r>
        <w:rPr>
          <w:rFonts w:ascii="Arial" w:hAnsi="Arial"/>
          <w:b w:val="1"/>
          <w:bCs w:val="1"/>
          <w:outline w:val="0"/>
          <w:color w:val="000000"/>
          <w:sz w:val="20"/>
          <w:szCs w:val="20"/>
          <w:shd w:val="clear" w:color="auto" w:fill="ffffff"/>
          <w:rtl w:val="0"/>
          <w:lang w:val="en-US"/>
          <w14:textFill>
            <w14:solidFill>
              <w14:srgbClr w14:val="000000">
                <w14:alpha w14:val="15294"/>
              </w14:srgbClr>
            </w14:solidFill>
          </w14:textFill>
        </w:rPr>
        <w:t>Background</w:t>
      </w:r>
      <w:r>
        <w:rPr>
          <w:rFonts w:ascii="Arial" w:hAnsi="Arial" w:hint="default"/>
          <w:b w:val="0"/>
          <w:bCs w:val="0"/>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 xml:space="preserve">Future Health Today (FHT) is a technology platform developed by the University of Melbourne and Western Health that integrates with clinical software to provide individualised electronic clinical decision support (eCDS). This project looks at the use of FHT in the context of chronic kidney disease (CKD). CKD contributed to 11% of all deaths in Australia in 2018 (2) and people with moderate to severe CKD are automatically considered to be at </w:t>
      </w:r>
      <w:r>
        <w:rPr>
          <w:rFonts w:ascii="Arial" w:hAnsi="Arial" w:hint="default"/>
          <w:outline w:val="0"/>
          <w:color w:val="000000"/>
          <w:sz w:val="20"/>
          <w:szCs w:val="20"/>
          <w:shd w:val="clear" w:color="auto" w:fill="ffffff"/>
          <w:rtl w:val="1"/>
          <w14:textFill>
            <w14:solidFill>
              <w14:srgbClr w14:val="000000">
                <w14:alpha w14:val="15294"/>
              </w14:srgbClr>
            </w14:solidFill>
          </w14:textFill>
        </w:rPr>
        <w:t>‘</w:t>
      </w:r>
      <w:r>
        <w:rPr>
          <w:rFonts w:ascii="Arial" w:hAnsi="Arial"/>
          <w:outline w:val="0"/>
          <w:color w:val="000000"/>
          <w:sz w:val="20"/>
          <w:szCs w:val="20"/>
          <w:shd w:val="clear" w:color="auto" w:fill="ffffff"/>
          <w:rtl w:val="0"/>
          <w:lang w:val="en-US"/>
          <w14:textFill>
            <w14:solidFill>
              <w14:srgbClr w14:val="000000">
                <w14:alpha w14:val="15294"/>
              </w14:srgbClr>
            </w14:solidFill>
          </w14:textFill>
        </w:rPr>
        <w:t>high risk</w:t>
      </w:r>
      <w:r>
        <w:rPr>
          <w:rFonts w:ascii="Arial" w:hAnsi="Arial" w:hint="default"/>
          <w:outline w:val="0"/>
          <w:color w:val="000000"/>
          <w:sz w:val="20"/>
          <w:szCs w:val="20"/>
          <w:shd w:val="clear" w:color="auto" w:fill="ffffff"/>
          <w:rtl w:val="1"/>
          <w14:textFill>
            <w14:solidFill>
              <w14:srgbClr w14:val="000000">
                <w14:alpha w14:val="15294"/>
              </w14:srgbClr>
            </w14:solidFill>
          </w14:textFill>
        </w:rPr>
        <w:t xml:space="preserve">’ </w:t>
      </w:r>
      <w:r>
        <w:rPr>
          <w:rFonts w:ascii="Arial" w:hAnsi="Arial"/>
          <w:outline w:val="0"/>
          <w:color w:val="000000"/>
          <w:sz w:val="20"/>
          <w:szCs w:val="20"/>
          <w:shd w:val="clear" w:color="auto" w:fill="ffffff"/>
          <w:rtl w:val="0"/>
          <w:lang w:val="en-US"/>
          <w14:textFill>
            <w14:solidFill>
              <w14:srgbClr w14:val="000000">
                <w14:alpha w14:val="15294"/>
              </w14:srgbClr>
            </w14:solidFill>
          </w14:textFill>
        </w:rPr>
        <w:t>of cardiovascular disease (CVD). This risk can be mitigated through various lifestyle and pharmacotherapy interventions that provide the basis for recommendations in FHT.</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b w:val="0"/>
          <w:bCs w:val="0"/>
          <w:outline w:val="0"/>
          <w:color w:val="000000"/>
          <w:sz w:val="20"/>
          <w:szCs w:val="20"/>
          <w:shd w:val="clear" w:color="auto" w:fill="ffffff"/>
          <w:rtl w:val="0"/>
          <w14:textFill>
            <w14:solidFill>
              <w14:srgbClr w14:val="000000">
                <w14:alpha w14:val="15294"/>
              </w14:srgbClr>
            </w14:solidFill>
          </w14:textFill>
        </w:rPr>
      </w:pPr>
      <w:r>
        <w:rPr>
          <w:rFonts w:ascii="Arial" w:hAnsi="Arial"/>
          <w:b w:val="1"/>
          <w:bCs w:val="1"/>
          <w:outline w:val="0"/>
          <w:color w:val="000000"/>
          <w:sz w:val="20"/>
          <w:szCs w:val="20"/>
          <w:shd w:val="clear" w:color="auto" w:fill="ffffff"/>
          <w:rtl w:val="0"/>
          <w:lang w:val="en-US"/>
          <w14:textFill>
            <w14:solidFill>
              <w14:srgbClr w14:val="000000">
                <w14:alpha w14:val="15294"/>
              </w14:srgbClr>
            </w14:solidFill>
          </w14:textFill>
        </w:rPr>
        <w:t>Aim / Hypothesis</w:t>
      </w:r>
      <w:r>
        <w:rPr>
          <w:rFonts w:ascii="Arial" w:hAnsi="Arial" w:hint="default"/>
          <w:b w:val="0"/>
          <w:bCs w:val="0"/>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To explore factors influencing implementation of FHT from the perspectives of participating GPs in the context of CVD risk in CKD.</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b w:val="0"/>
          <w:bCs w:val="0"/>
          <w:outline w:val="0"/>
          <w:color w:val="000000"/>
          <w:sz w:val="20"/>
          <w:szCs w:val="20"/>
          <w:shd w:val="clear" w:color="auto" w:fill="ffffff"/>
          <w:rtl w:val="0"/>
          <w14:textFill>
            <w14:solidFill>
              <w14:srgbClr w14:val="000000">
                <w14:alpha w14:val="15294"/>
              </w14:srgbClr>
            </w14:solidFill>
          </w14:textFill>
        </w:rPr>
      </w:pPr>
      <w:r>
        <w:rPr>
          <w:rFonts w:ascii="Arial" w:hAnsi="Arial"/>
          <w:b w:val="1"/>
          <w:bCs w:val="1"/>
          <w:outline w:val="0"/>
          <w:color w:val="000000"/>
          <w:sz w:val="20"/>
          <w:szCs w:val="20"/>
          <w:shd w:val="clear" w:color="auto" w:fill="ffffff"/>
          <w:rtl w:val="0"/>
          <w:lang w:val="en-US"/>
          <w14:textFill>
            <w14:solidFill>
              <w14:srgbClr w14:val="000000">
                <w14:alpha w14:val="15294"/>
              </w14:srgbClr>
            </w14:solidFill>
          </w14:textFill>
        </w:rPr>
        <w:t>Method</w:t>
      </w:r>
      <w:r>
        <w:rPr>
          <w:rFonts w:ascii="Arial" w:hAnsi="Arial" w:hint="default"/>
          <w:b w:val="0"/>
          <w:bCs w:val="0"/>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Practices in Victoria were recruited to participate in a pragmatic cluster randomised control trial using FHT, of which 19 practices were randomly assigned to use FHT</w:t>
      </w:r>
      <w:r>
        <w:rPr>
          <w:rFonts w:ascii="Arial" w:hAnsi="Arial" w:hint="default"/>
          <w:outline w:val="0"/>
          <w:color w:val="000000"/>
          <w:sz w:val="20"/>
          <w:szCs w:val="20"/>
          <w:shd w:val="clear" w:color="auto" w:fill="ffffff"/>
          <w:rtl w:val="1"/>
          <w14:textFill>
            <w14:solidFill>
              <w14:srgbClr w14:val="000000">
                <w14:alpha w14:val="15294"/>
              </w14:srgbClr>
            </w14:solidFill>
          </w14:textFill>
        </w:rPr>
        <w:t>’</w:t>
      </w:r>
      <w:r>
        <w:rPr>
          <w:rFonts w:ascii="Arial" w:hAnsi="Arial"/>
          <w:outline w:val="0"/>
          <w:color w:val="000000"/>
          <w:sz w:val="20"/>
          <w:szCs w:val="20"/>
          <w:shd w:val="clear" w:color="auto" w:fill="ffffff"/>
          <w:rtl w:val="0"/>
          <w:lang w:val="en-US"/>
          <w14:textFill>
            <w14:solidFill>
              <w14:srgbClr w14:val="000000">
                <w14:alpha w14:val="15294"/>
              </w14:srgbClr>
            </w14:solidFill>
          </w14:textFill>
        </w:rPr>
        <w:t>s CKD program. 30-minute semi-structured interviews will be undertaken with a nominated GP from each practice. Qualitative data will be coded by two researchers and analysed using Framework Analysis and Clinical Performance Feedback Intervention Theory (CP-FIT) (3).</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r>
        <w:rPr>
          <w:rFonts w:ascii="Arial" w:cs="Arial" w:hAnsi="Arial" w:eastAsia="Arial"/>
          <w:outline w:val="0"/>
          <w:color w:val="000000"/>
          <w:sz w:val="20"/>
          <w:szCs w:val="20"/>
          <w:shd w:val="clear" w:color="auto" w:fill="ffffff"/>
          <w:rtl w:val="0"/>
          <w14:textFill>
            <w14:solidFill>
              <w14:srgbClr w14:val="000000"/>
            </w14:solidFill>
          </w14:textFill>
        </w:rPr>
        <w:br w:type="textWrapping"/>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b w:val="0"/>
          <w:bCs w:val="0"/>
          <w:outline w:val="0"/>
          <w:color w:val="000000"/>
          <w:sz w:val="20"/>
          <w:szCs w:val="20"/>
          <w:shd w:val="clear" w:color="auto" w:fill="ffffff"/>
          <w:rtl w:val="0"/>
          <w14:textFill>
            <w14:solidFill>
              <w14:srgbClr w14:val="000000">
                <w14:alpha w14:val="15294"/>
              </w14:srgbClr>
            </w14:solidFill>
          </w14:textFill>
        </w:rPr>
      </w:pPr>
      <w:r>
        <w:rPr>
          <w:rFonts w:ascii="Arial" w:hAnsi="Arial"/>
          <w:b w:val="1"/>
          <w:bCs w:val="1"/>
          <w:outline w:val="0"/>
          <w:color w:val="000000"/>
          <w:sz w:val="20"/>
          <w:szCs w:val="20"/>
          <w:shd w:val="clear" w:color="auto" w:fill="ffffff"/>
          <w:rtl w:val="0"/>
          <w:lang w:val="en-US"/>
          <w14:textFill>
            <w14:solidFill>
              <w14:srgbClr w14:val="000000">
                <w14:alpha w14:val="15294"/>
              </w14:srgbClr>
            </w14:solidFill>
          </w14:textFill>
        </w:rPr>
        <w:t>Results</w:t>
      </w:r>
      <w:r>
        <w:rPr>
          <w:rFonts w:ascii="Arial" w:hAnsi="Arial" w:hint="default"/>
          <w:b w:val="0"/>
          <w:bCs w:val="0"/>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Interviews will be conducted in May 2022 and preliminary results will be available by August 2022.</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b w:val="0"/>
          <w:bCs w:val="0"/>
          <w:outline w:val="0"/>
          <w:color w:val="000000"/>
          <w:sz w:val="20"/>
          <w:szCs w:val="20"/>
          <w:shd w:val="clear" w:color="auto" w:fill="ffffff"/>
          <w:rtl w:val="0"/>
          <w14:textFill>
            <w14:solidFill>
              <w14:srgbClr w14:val="000000">
                <w14:alpha w14:val="15294"/>
              </w14:srgbClr>
            </w14:solidFill>
          </w14:textFill>
        </w:rPr>
      </w:pPr>
      <w:r>
        <w:rPr>
          <w:rFonts w:ascii="Arial" w:hAnsi="Arial"/>
          <w:b w:val="1"/>
          <w:bCs w:val="1"/>
          <w:outline w:val="0"/>
          <w:color w:val="000000"/>
          <w:sz w:val="20"/>
          <w:szCs w:val="20"/>
          <w:shd w:val="clear" w:color="auto" w:fill="ffffff"/>
          <w:rtl w:val="0"/>
          <w:lang w:val="en-US"/>
          <w14:textFill>
            <w14:solidFill>
              <w14:srgbClr w14:val="000000">
                <w14:alpha w14:val="15294"/>
              </w14:srgbClr>
            </w14:solidFill>
          </w14:textFill>
        </w:rPr>
        <w:t>Discussion</w:t>
      </w:r>
      <w:r>
        <w:rPr>
          <w:rFonts w:ascii="Arial" w:hAnsi="Arial" w:hint="default"/>
          <w:b w:val="0"/>
          <w:bCs w:val="0"/>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Through a clinical lens we will explore the user experience, impact on workflow, perceived usefulness and credibility of recommendations, and what processes and staff roles are important to implementation of the program.</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r>
        <w:rPr>
          <w:rFonts w:ascii="Arial" w:cs="Arial" w:hAnsi="Arial" w:eastAsia="Arial"/>
          <w:outline w:val="0"/>
          <w:color w:val="000000"/>
          <w:sz w:val="20"/>
          <w:szCs w:val="20"/>
          <w:shd w:val="clear" w:color="auto" w:fill="ffffff"/>
          <w:rtl w:val="0"/>
          <w14:textFill>
            <w14:solidFill>
              <w14:srgbClr w14:val="000000"/>
            </w14:solidFill>
          </w14:textFill>
        </w:rPr>
        <w:br w:type="textWrapping"/>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b w:val="0"/>
          <w:bCs w:val="0"/>
          <w:outline w:val="0"/>
          <w:color w:val="000000"/>
          <w:sz w:val="20"/>
          <w:szCs w:val="20"/>
          <w:shd w:val="clear" w:color="auto" w:fill="ffffff"/>
          <w:rtl w:val="0"/>
          <w14:textFill>
            <w14:solidFill>
              <w14:srgbClr w14:val="000000">
                <w14:alpha w14:val="15294"/>
              </w14:srgbClr>
            </w14:solidFill>
          </w14:textFill>
        </w:rPr>
      </w:pPr>
      <w:r>
        <w:rPr>
          <w:rFonts w:ascii="Arial" w:hAnsi="Arial"/>
          <w:b w:val="1"/>
          <w:bCs w:val="1"/>
          <w:outline w:val="0"/>
          <w:color w:val="000000"/>
          <w:sz w:val="20"/>
          <w:szCs w:val="20"/>
          <w:shd w:val="clear" w:color="auto" w:fill="ffffff"/>
          <w:rtl w:val="0"/>
          <w:lang w:val="it-IT"/>
          <w14:textFill>
            <w14:solidFill>
              <w14:srgbClr w14:val="000000">
                <w14:alpha w14:val="15294"/>
              </w14:srgbClr>
            </w14:solidFill>
          </w14:textFill>
        </w:rPr>
        <w:t>Conclusion</w:t>
      </w:r>
      <w:r>
        <w:rPr>
          <w:rFonts w:ascii="Arial" w:hAnsi="Arial" w:hint="default"/>
          <w:b w:val="0"/>
          <w:bCs w:val="0"/>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It is important that development of new technology be continued with the active involvement of clinicians. I</w:t>
      </w:r>
      <w:r>
        <w:rPr>
          <w:rFonts w:ascii="Arial" w:hAnsi="Arial"/>
          <w:outline w:val="0"/>
          <w:color w:val="201f1e"/>
          <w:sz w:val="20"/>
          <w:szCs w:val="20"/>
          <w:shd w:val="clear" w:color="auto" w:fill="ffffff"/>
          <w:rtl w:val="0"/>
          <w:lang w:val="en-US"/>
          <w14:textFill>
            <w14:solidFill>
              <w14:srgbClr w14:val="201F1E"/>
            </w14:solidFill>
          </w14:textFill>
        </w:rPr>
        <w:t xml:space="preserve">mplementation studies such as this are vital in informing the broader integration of eCDS into general practice as recommended in the </w:t>
      </w:r>
      <w:r>
        <w:rPr>
          <w:rFonts w:ascii="Arial" w:hAnsi="Arial"/>
          <w:outline w:val="0"/>
          <w:color w:val="000000"/>
          <w:sz w:val="20"/>
          <w:szCs w:val="20"/>
          <w:shd w:val="clear" w:color="auto" w:fill="ffffff"/>
          <w:rtl w:val="0"/>
          <w:lang w:val="en-US"/>
          <w14:textFill>
            <w14:solidFill>
              <w14:srgbClr w14:val="000000">
                <w14:alpha w14:val="15294"/>
              </w14:srgbClr>
            </w14:solidFill>
          </w14:textFill>
        </w:rPr>
        <w:t>Primary Health Care 10 Year Plan.</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bidi w:val="0"/>
        <w:spacing w:before="0" w:line="240" w:lineRule="auto"/>
        <w:ind w:left="0" w:right="0" w:firstLine="0"/>
        <w:jc w:val="left"/>
        <w:rPr>
          <w:rFonts w:ascii="Arial" w:cs="Arial" w:hAnsi="Arial" w:eastAsia="Arial"/>
          <w:outline w:val="0"/>
          <w:color w:val="000000"/>
          <w:sz w:val="20"/>
          <w:szCs w:val="20"/>
          <w:shd w:val="clear" w:color="auto" w:fill="ffffff"/>
          <w:rtl w:val="0"/>
          <w14:textFill>
            <w14:solidFill>
              <w14:srgbClr w14:val="000000">
                <w14:alpha w14:val="15294"/>
              </w14:srgbClr>
            </w14:solidFill>
          </w14:textFill>
        </w:rPr>
      </w:pPr>
      <w:r>
        <w:rPr>
          <w:rFonts w:ascii="Arial" w:hAnsi="Arial"/>
          <w:outline w:val="0"/>
          <w:color w:val="000000"/>
          <w:sz w:val="20"/>
          <w:szCs w:val="20"/>
          <w:shd w:val="clear" w:color="auto" w:fill="ffffff"/>
          <w:rtl w:val="0"/>
          <w:lang w:val="fr-FR"/>
          <w14:textFill>
            <w14:solidFill>
              <w14:srgbClr w14:val="000000">
                <w14:alpha w14:val="15294"/>
              </w14:srgbClr>
            </w14:solidFill>
          </w14:textFill>
        </w:rPr>
        <w:t>References</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4"/>
        </w:numPr>
        <w:bidi w:val="0"/>
        <w:spacing w:before="0" w:line="240" w:lineRule="auto"/>
        <w:ind w:right="0"/>
        <w:jc w:val="left"/>
        <w:rPr>
          <w:rFonts w:ascii="Arial" w:hAnsi="Arial"/>
          <w:outline w:val="0"/>
          <w:color w:val="000000"/>
          <w:sz w:val="20"/>
          <w:szCs w:val="20"/>
          <w:shd w:val="clear" w:color="auto" w:fill="ffffff"/>
          <w:rtl w:val="0"/>
          <w:lang w:val="en-US"/>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Cooke G, Valenti L, Glasziou P, et al. Common general practice presentations and publication frequency. Aust Fam Physician 2013; 42: 65</w:t>
      </w:r>
      <w:r>
        <w:rPr>
          <w:rFonts w:ascii="Arial" w:hAnsi="Arial" w:hint="default"/>
          <w:outline w:val="0"/>
          <w:color w:val="000000"/>
          <w:sz w:val="20"/>
          <w:szCs w:val="20"/>
          <w:shd w:val="clear" w:color="auto" w:fill="ffffff"/>
          <w:rtl w:val="0"/>
          <w14:textFill>
            <w14:solidFill>
              <w14:srgbClr w14:val="000000">
                <w14:alpha w14:val="15294"/>
              </w14:srgbClr>
            </w14:solidFill>
          </w14:textFill>
        </w:rPr>
        <w:t>–</w:t>
      </w:r>
      <w:r>
        <w:rPr>
          <w:rFonts w:ascii="Arial" w:hAnsi="Arial"/>
          <w:outline w:val="0"/>
          <w:color w:val="000000"/>
          <w:sz w:val="20"/>
          <w:szCs w:val="20"/>
          <w:shd w:val="clear" w:color="auto" w:fill="ffffff"/>
          <w:rtl w:val="0"/>
          <w14:textFill>
            <w14:solidFill>
              <w14:srgbClr w14:val="000000">
                <w14:alpha w14:val="15294"/>
              </w14:srgbClr>
            </w14:solidFill>
          </w14:textFill>
        </w:rPr>
        <w:t>68.</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4"/>
        </w:numPr>
        <w:bidi w:val="0"/>
        <w:spacing w:before="0" w:line="240" w:lineRule="auto"/>
        <w:ind w:right="0"/>
        <w:jc w:val="left"/>
        <w:rPr>
          <w:rFonts w:ascii="Arial" w:hAnsi="Arial"/>
          <w:outline w:val="0"/>
          <w:color w:val="000000"/>
          <w:sz w:val="20"/>
          <w:szCs w:val="20"/>
          <w:shd w:val="clear" w:color="auto" w:fill="ffffff"/>
          <w:rtl w:val="0"/>
          <w:lang w:val="en-US"/>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Australian Institute of Health and Welfare (2020). Chronic kidney disease. AIHW, Australian Government, accessed 05 April 2022.</w:t>
      </w:r>
      <w:r>
        <w:rPr>
          <w:rFonts w:ascii="Arial" w:hAnsi="Arial"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4"/>
        </w:numPr>
        <w:bidi w:val="0"/>
        <w:spacing w:before="0" w:line="240" w:lineRule="auto"/>
        <w:ind w:right="0"/>
        <w:jc w:val="left"/>
        <w:rPr>
          <w:rFonts w:ascii="Arial" w:hAnsi="Arial"/>
          <w:outline w:val="0"/>
          <w:color w:val="000000"/>
          <w:sz w:val="20"/>
          <w:szCs w:val="20"/>
          <w:shd w:val="clear" w:color="auto" w:fill="ffffff"/>
          <w:rtl w:val="0"/>
          <w:lang w:val="en-US"/>
          <w14:textFill>
            <w14:solidFill>
              <w14:srgbClr w14:val="000000">
                <w14:alpha w14:val="15294"/>
              </w14:srgbClr>
            </w14:solidFill>
          </w14:textFill>
        </w:rPr>
      </w:pPr>
      <w:r>
        <w:rPr>
          <w:rFonts w:ascii="Arial" w:hAnsi="Arial"/>
          <w:outline w:val="0"/>
          <w:color w:val="000000"/>
          <w:sz w:val="20"/>
          <w:szCs w:val="20"/>
          <w:shd w:val="clear" w:color="auto" w:fill="ffffff"/>
          <w:rtl w:val="0"/>
          <w:lang w:val="en-US"/>
          <w14:textFill>
            <w14:solidFill>
              <w14:srgbClr w14:val="000000">
                <w14:alpha w14:val="15294"/>
              </w14:srgbClr>
            </w14:solidFill>
          </w14:textFill>
        </w:rPr>
        <w:t>Brown B, Gude WT, Blakeman T, et al. Clinical Performance Feedback Intervention Theory (CP-FIT): a new theory for designing, implementing, and evaluating feedback in health care based on a systematic review and meta-synthesis of qualitative research. Implement Sci 2019; 14: 40.</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78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00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22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44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66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188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10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32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78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00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22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44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66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188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10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321" w:hanging="341"/>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