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940B" w14:textId="462ACD33" w:rsidR="00192662" w:rsidRPr="00965CF5" w:rsidRDefault="00965CF5" w:rsidP="00D079DB">
      <w:pPr>
        <w:pStyle w:val="Heading1"/>
        <w:spacing w:before="0"/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Presentation title</w:t>
      </w:r>
      <w:r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br/>
      </w:r>
      <w:r w:rsidR="00192662" w:rsidRPr="00965CF5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Reproductive carrier screening: making it work in your practice</w:t>
      </w:r>
    </w:p>
    <w:p w14:paraId="7163AE86" w14:textId="77777777" w:rsidR="000A3326" w:rsidRPr="00965CF5" w:rsidRDefault="000A3326" w:rsidP="00D079DB">
      <w:pPr>
        <w:rPr>
          <w:rFonts w:ascii="Arial" w:hAnsi="Arial" w:cs="Arial"/>
          <w:sz w:val="20"/>
          <w:szCs w:val="20"/>
          <w:lang w:eastAsia="ja-JP"/>
        </w:rPr>
      </w:pPr>
    </w:p>
    <w:p w14:paraId="4DC82A29" w14:textId="725ABDED" w:rsidR="00533EB3" w:rsidRDefault="00BF09D2" w:rsidP="00D079DB">
      <w:pPr>
        <w:pStyle w:val="Heading2"/>
        <w:spacing w:before="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t>Introduction</w:t>
      </w:r>
      <w:r w:rsid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br/>
      </w:r>
      <w:r w:rsidR="008138AF" w:rsidRPr="008138AF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The purpose of reproductive carrier screening (RCS) is to identify couples at high risk o</w:t>
      </w:r>
      <w:r w:rsidR="00EA5DBA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f having a child with a severe </w:t>
      </w:r>
      <w:r w:rsidR="008138AF" w:rsidRPr="008138AF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autosomal recessive (AR) or X-linked (XL) disorder, allowing them to make informed reproductive decisions. 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>RCS</w:t>
      </w:r>
      <w:r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is</w:t>
      </w:r>
      <w:r w:rsid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n</w:t>
      </w:r>
      <w:r w:rsidR="00EB0C21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ow considered a mainstream test, offered through a number of public and private laboratories across </w:t>
      </w:r>
      <w:r w:rsidR="00EA5DBA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Australia. </w:t>
      </w:r>
      <w:r w:rsidR="00EB0C21">
        <w:rPr>
          <w:rFonts w:ascii="Arial" w:hAnsi="Arial" w:cs="Arial"/>
          <w:color w:val="000000" w:themeColor="text1"/>
          <w:sz w:val="20"/>
          <w:szCs w:val="20"/>
          <w:lang w:eastAsia="ja-JP"/>
        </w:rPr>
        <w:t>The</w:t>
      </w:r>
      <w:r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>R</w:t>
      </w:r>
      <w:r w:rsidR="008138AF" w:rsidRP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>oyal Australian and New Zealand College of Obstetricians and Gynaecologists</w:t>
      </w:r>
      <w:r w:rsidR="00EA5DBA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(RANZCOG)</w:t>
      </w:r>
      <w:r w:rsid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recommend </w:t>
      </w:r>
      <w:r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that any practitioner providing reproductive care should offer information about carrier screening to women who are planning a pregnancy or who are in early pregnancy. </w:t>
      </w:r>
      <w:r w:rsid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>While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the 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merit of </w:t>
      </w:r>
      <w:r w:rsidR="00204756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this </w:t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requirement </w:t>
      </w:r>
      <w:r w:rsid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>is not in dispute, t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he challenge lies in providing information about the purpose, scope, cost and outcomes of different carrier screening </w:t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options 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to meet this professional obligation in the context of a busy </w:t>
      </w:r>
      <w:r w:rsidR="00EB0C21">
        <w:rPr>
          <w:rFonts w:ascii="Arial" w:hAnsi="Arial" w:cs="Arial"/>
          <w:color w:val="000000" w:themeColor="text1"/>
          <w:sz w:val="20"/>
          <w:szCs w:val="20"/>
          <w:lang w:eastAsia="ja-JP"/>
        </w:rPr>
        <w:t>general</w:t>
      </w:r>
      <w:r w:rsidR="008138A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or specialist 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practice. </w:t>
      </w:r>
    </w:p>
    <w:p w14:paraId="1E353458" w14:textId="77777777" w:rsidR="00D079DB" w:rsidRPr="00D079DB" w:rsidRDefault="00D079DB" w:rsidP="00D079DB">
      <w:pPr>
        <w:rPr>
          <w:lang w:eastAsia="ja-JP"/>
        </w:rPr>
      </w:pPr>
    </w:p>
    <w:p w14:paraId="7407C5C8" w14:textId="7A25E88F" w:rsidR="00533EB3" w:rsidRDefault="0048436B" w:rsidP="00D079DB">
      <w:pPr>
        <w:pStyle w:val="Heading2"/>
        <w:spacing w:before="0"/>
        <w:rPr>
          <w:rFonts w:ascii="Arial" w:hAnsi="Arial" w:cs="Arial"/>
          <w:color w:val="000000" w:themeColor="text1"/>
          <w:sz w:val="20"/>
          <w:szCs w:val="20"/>
          <w:lang w:val="en-GB" w:eastAsia="en-AU"/>
        </w:rPr>
      </w:pPr>
      <w:r w:rsidRP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t>Aim</w:t>
      </w:r>
      <w:r w:rsidR="00BF09D2" w:rsidRP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t>s</w:t>
      </w:r>
      <w:r w:rsid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br/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To</w:t>
      </w:r>
      <w:r w:rsidR="00192662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discuss the clinical</w:t>
      </w:r>
      <w:r w:rsidR="00EB0C21" w:rsidRP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aspects of 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RCS </w:t>
      </w:r>
      <w:r w:rsidR="00EB0C21" w:rsidRP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testing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and </w:t>
      </w:r>
      <w:r w:rsidR="00192662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identify </w:t>
      </w:r>
      <w:r w:rsidR="00CA361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practical ways of providing </w:t>
      </w:r>
      <w:r w:rsidR="00204756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relevant </w:t>
      </w:r>
      <w:r w:rsidR="00CA361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information and </w:t>
      </w:r>
      <w:r w:rsidR="00204756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appropriate </w:t>
      </w:r>
      <w:r w:rsidR="00CA361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pre-test counselling</w:t>
      </w:r>
      <w:r w:rsidR="00204756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.</w:t>
      </w:r>
      <w:r w:rsidR="00CA361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</w:t>
      </w:r>
    </w:p>
    <w:p w14:paraId="1B57B8ED" w14:textId="77777777" w:rsidR="00D079DB" w:rsidRPr="00D079DB" w:rsidRDefault="00D079DB" w:rsidP="00D079DB">
      <w:pPr>
        <w:rPr>
          <w:lang w:val="en-GB" w:eastAsia="en-AU"/>
        </w:rPr>
      </w:pPr>
    </w:p>
    <w:p w14:paraId="2B91F531" w14:textId="0F5E230F" w:rsidR="00533EB3" w:rsidRDefault="00BF09D2" w:rsidP="00D079DB">
      <w:pPr>
        <w:pStyle w:val="Heading2"/>
        <w:spacing w:before="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t>Methods</w:t>
      </w:r>
      <w:r w:rsid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br/>
      </w:r>
      <w:r w:rsidR="00E2149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Through a </w:t>
      </w:r>
      <w:r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structu</w:t>
      </w:r>
      <w:r w:rsidR="00E2149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red, albeit informal, workshop, </w:t>
      </w:r>
      <w:r w:rsidR="008138AF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a genetic pathologist</w:t>
      </w:r>
      <w:r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and 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 </w:t>
      </w:r>
      <w:r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genetic counsellor</w:t>
      </w:r>
      <w:r w:rsidR="00E2149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will</w:t>
      </w:r>
      <w:r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</w:t>
      </w:r>
      <w:r w:rsidR="00E21499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address </w:t>
      </w:r>
      <w:r w:rsidR="004A1AFC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the information and counselling objectives </w:t>
      </w:r>
      <w:r w:rsidR="00900DE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related to</w:t>
      </w:r>
      <w:r w:rsidR="004A1AFC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RCS</w:t>
      </w:r>
      <w:r w:rsidR="00E21499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, discuss</w:t>
      </w:r>
      <w:r w:rsidR="008138AF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relevant 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molecular mechanisms and </w:t>
      </w:r>
      <w:r w:rsidR="008138AF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limitations of testing, 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and circumstances where Medicare-funded testing </w:t>
      </w:r>
      <w:r w:rsidR="00EA5DBA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(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or free male-partner testing</w:t>
      </w:r>
      <w:r w:rsidR="00EA5DBA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)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may be </w:t>
      </w:r>
      <w:r w:rsidR="0015472D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available</w:t>
      </w:r>
      <w:r w:rsidR="00EB0C21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. The conveners will also </w:t>
      </w:r>
      <w:r w:rsidR="00E21499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introduce </w:t>
      </w:r>
      <w:r w:rsidR="00A53280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 new online </w:t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course for patients </w:t>
      </w:r>
      <w:r w:rsidR="00EB0C21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and discuss its utility in allowing </w:t>
      </w:r>
      <w:r w:rsidR="00204756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>practitioners</w:t>
      </w:r>
      <w:r w:rsidR="00A53280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EB0C21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to </w:t>
      </w:r>
      <w:r w:rsidR="00A53280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>meet their professional a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nd ethical obligations </w:t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regarding 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>RCS</w:t>
      </w:r>
      <w:r w:rsidR="00E21499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. </w:t>
      </w:r>
    </w:p>
    <w:p w14:paraId="2973AA73" w14:textId="77777777" w:rsidR="00D079DB" w:rsidRPr="00D079DB" w:rsidRDefault="00D079DB" w:rsidP="00D079DB">
      <w:pPr>
        <w:rPr>
          <w:lang w:eastAsia="ja-JP"/>
        </w:rPr>
      </w:pPr>
    </w:p>
    <w:p w14:paraId="302AD28F" w14:textId="555ED9DD" w:rsidR="00900DE7" w:rsidRDefault="00E21499" w:rsidP="00D079DB">
      <w:pPr>
        <w:keepNext/>
        <w:keepLines/>
        <w:outlineLvl w:val="1"/>
        <w:rPr>
          <w:rFonts w:ascii="Arial" w:hAnsi="Arial" w:cs="Arial"/>
          <w:color w:val="000000" w:themeColor="text1"/>
          <w:sz w:val="20"/>
          <w:szCs w:val="20"/>
          <w:lang w:val="en-GB" w:eastAsia="en-AU"/>
        </w:rPr>
      </w:pPr>
      <w:r w:rsidRPr="00965CF5">
        <w:rPr>
          <w:rFonts w:ascii="Arial" w:eastAsiaTheme="majorEastAsia" w:hAnsi="Arial" w:cs="Arial"/>
          <w:b/>
          <w:color w:val="000000" w:themeColor="text1"/>
          <w:sz w:val="20"/>
          <w:szCs w:val="20"/>
          <w:lang w:val="en-GB" w:eastAsia="en-AU"/>
        </w:rPr>
        <w:t>Results</w:t>
      </w:r>
      <w:r w:rsidR="00965CF5">
        <w:rPr>
          <w:rFonts w:ascii="Arial" w:eastAsiaTheme="majorEastAsia" w:hAnsi="Arial" w:cs="Arial"/>
          <w:b/>
          <w:color w:val="000000" w:themeColor="text1"/>
          <w:sz w:val="20"/>
          <w:szCs w:val="20"/>
          <w:lang w:val="en-GB" w:eastAsia="en-AU"/>
        </w:rPr>
        <w:br/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P</w:t>
      </w:r>
      <w:r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articipants </w:t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at the workshop </w:t>
      </w:r>
      <w:r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will </w:t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learn </w:t>
      </w:r>
      <w:r w:rsidR="001C21A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what information </w:t>
      </w:r>
      <w:r w:rsidR="00E8199E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and options </w:t>
      </w:r>
      <w:r w:rsidR="001C21A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about RCS must be </w:t>
      </w:r>
      <w:r w:rsidR="000466A4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provide</w:t>
      </w:r>
      <w:r w:rsidR="001C21A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d, and how to achieve that goal </w:t>
      </w:r>
      <w:r w:rsidR="00900DE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in their practice.</w:t>
      </w:r>
    </w:p>
    <w:p w14:paraId="32D8D631" w14:textId="77777777" w:rsidR="00D079DB" w:rsidRPr="00965CF5" w:rsidRDefault="00D079DB" w:rsidP="00D079DB">
      <w:pPr>
        <w:keepNext/>
        <w:keepLines/>
        <w:outlineLvl w:val="1"/>
        <w:rPr>
          <w:rFonts w:ascii="Arial" w:hAnsi="Arial" w:cs="Arial"/>
          <w:color w:val="000000" w:themeColor="text1"/>
          <w:sz w:val="20"/>
          <w:szCs w:val="20"/>
          <w:lang w:val="en-GB" w:eastAsia="en-AU"/>
        </w:rPr>
      </w:pPr>
    </w:p>
    <w:p w14:paraId="25E0D173" w14:textId="439DE6A6" w:rsidR="00900DE7" w:rsidRDefault="00BF09D2" w:rsidP="00D079DB">
      <w:pPr>
        <w:pStyle w:val="Heading2"/>
        <w:spacing w:before="0"/>
        <w:rPr>
          <w:rFonts w:ascii="Arial" w:hAnsi="Arial" w:cs="Arial"/>
          <w:color w:val="000000" w:themeColor="text1"/>
          <w:sz w:val="20"/>
          <w:szCs w:val="20"/>
          <w:lang w:val="en-GB" w:eastAsia="en-AU"/>
        </w:rPr>
      </w:pPr>
      <w:r w:rsidRP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t>Discussion</w:t>
      </w:r>
      <w:r w:rsidR="00965CF5">
        <w:rPr>
          <w:rFonts w:ascii="Arial" w:hAnsi="Arial" w:cs="Arial"/>
          <w:b/>
          <w:color w:val="000000" w:themeColor="text1"/>
          <w:sz w:val="20"/>
          <w:szCs w:val="20"/>
          <w:lang w:val="en-GB" w:eastAsia="en-AU"/>
        </w:rPr>
        <w:br/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The growing complexity of genetic testing can overload both the provider and the recipient of this information. The workshop will </w:t>
      </w:r>
      <w:r w:rsidR="00B57BD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identify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</w:t>
      </w:r>
      <w:r w:rsidR="00900DE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the 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key </w:t>
      </w:r>
      <w:r w:rsidR="00900DE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objectives that must be met for the responsible provision of carrier screening</w:t>
      </w:r>
      <w:r w:rsidR="001C21A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and</w:t>
      </w:r>
      <w:r w:rsidR="00226C0D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, </w:t>
      </w:r>
      <w:r w:rsidR="001C21A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by providing </w:t>
      </w:r>
      <w:r w:rsidR="00900DE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easy-access resources</w:t>
      </w:r>
      <w:r w:rsidR="00226C0D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,</w:t>
      </w:r>
      <w:r w:rsidR="00DF08B2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</w:t>
      </w:r>
      <w:r w:rsidR="00226C0D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assist clinicians in meeting these</w:t>
      </w:r>
      <w:r w:rsidR="00900DE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 xml:space="preserve"> objective</w:t>
      </w:r>
      <w:r w:rsidR="001C21A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s</w:t>
      </w:r>
      <w:r w:rsidR="00900DE7" w:rsidRPr="00965CF5">
        <w:rPr>
          <w:rFonts w:ascii="Arial" w:hAnsi="Arial" w:cs="Arial"/>
          <w:color w:val="000000" w:themeColor="text1"/>
          <w:sz w:val="20"/>
          <w:szCs w:val="20"/>
          <w:lang w:val="en-GB" w:eastAsia="en-AU"/>
        </w:rPr>
        <w:t>.</w:t>
      </w:r>
    </w:p>
    <w:p w14:paraId="1BA647C6" w14:textId="77777777" w:rsidR="00D079DB" w:rsidRPr="00D079DB" w:rsidRDefault="00D079DB" w:rsidP="00D079DB">
      <w:pPr>
        <w:rPr>
          <w:lang w:val="en-GB" w:eastAsia="en-AU"/>
        </w:rPr>
      </w:pPr>
    </w:p>
    <w:p w14:paraId="2B6CD92B" w14:textId="60A0EA4F" w:rsidR="0078646E" w:rsidRPr="009F5C72" w:rsidRDefault="0078646E" w:rsidP="00D079D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5C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Learning </w:t>
      </w:r>
      <w:r w:rsidR="009F5C72" w:rsidRPr="009F5C72">
        <w:rPr>
          <w:rFonts w:ascii="Arial" w:hAnsi="Arial" w:cs="Arial"/>
          <w:b/>
          <w:bCs/>
          <w:color w:val="000000" w:themeColor="text1"/>
          <w:sz w:val="20"/>
          <w:szCs w:val="20"/>
        </w:rPr>
        <w:t>outcomes</w:t>
      </w:r>
    </w:p>
    <w:p w14:paraId="02F4F8A0" w14:textId="77777777" w:rsidR="0078646E" w:rsidRPr="00D079DB" w:rsidRDefault="0078646E" w:rsidP="005430E3">
      <w:pPr>
        <w:pStyle w:val="ListParagraph"/>
        <w:numPr>
          <w:ilvl w:val="0"/>
          <w:numId w:val="6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D079DB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>Pre-test counselling and addressing challenges in providing information about the purpose, scope, cost and outcomes of different carrier screening options</w:t>
      </w:r>
    </w:p>
    <w:p w14:paraId="0AF2C36E" w14:textId="77777777" w:rsidR="0078646E" w:rsidRPr="00D079DB" w:rsidRDefault="0078646E" w:rsidP="005430E3">
      <w:pPr>
        <w:pStyle w:val="ListParagraph"/>
        <w:numPr>
          <w:ilvl w:val="0"/>
          <w:numId w:val="6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D079DB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>Options for screening: basic RCS (</w:t>
      </w:r>
      <w:proofErr w:type="gramStart"/>
      <w:r w:rsidRPr="00D079DB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>e.g.</w:t>
      </w:r>
      <w:proofErr w:type="gramEnd"/>
      <w:r w:rsidRPr="00D079DB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 xml:space="preserve"> testing for CF/SMA and FXS only) versus expanded carrier screening (including 100s of genes)  </w:t>
      </w:r>
    </w:p>
    <w:p w14:paraId="1E401A5F" w14:textId="77777777" w:rsidR="0078646E" w:rsidRPr="00D079DB" w:rsidRDefault="0078646E" w:rsidP="005430E3">
      <w:pPr>
        <w:pStyle w:val="ListParagraph"/>
        <w:numPr>
          <w:ilvl w:val="0"/>
          <w:numId w:val="6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D079DB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>Testing pathways: sequential testing versus testing both members of the couple at the same time</w:t>
      </w:r>
    </w:p>
    <w:p w14:paraId="1C407CF4" w14:textId="77777777" w:rsidR="0078646E" w:rsidRPr="00D079DB" w:rsidRDefault="0078646E" w:rsidP="005430E3">
      <w:pPr>
        <w:pStyle w:val="ListParagraph"/>
        <w:numPr>
          <w:ilvl w:val="0"/>
          <w:numId w:val="6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D079DB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 xml:space="preserve">Molecular mechanisms, importance of obtaining information related to family history and understanding test limitations </w:t>
      </w:r>
    </w:p>
    <w:p w14:paraId="71066E0C" w14:textId="77777777" w:rsidR="0078646E" w:rsidRPr="00D079DB" w:rsidRDefault="0078646E" w:rsidP="005430E3">
      <w:pPr>
        <w:pStyle w:val="ListParagraph"/>
        <w:numPr>
          <w:ilvl w:val="0"/>
          <w:numId w:val="6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D079DB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 xml:space="preserve">Becoming familiar with resources available to assist with provision of RCS, including exposure to an online educational tool developed for patients. </w:t>
      </w:r>
    </w:p>
    <w:p w14:paraId="004C7A49" w14:textId="7287CBBF" w:rsidR="0078646E" w:rsidRDefault="0078646E" w:rsidP="00D079D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762C4A" w14:textId="77777777" w:rsidR="009F5C72" w:rsidRPr="00C353E8" w:rsidRDefault="009F5C72" w:rsidP="00D079DB">
      <w:pPr>
        <w:pStyle w:val="NoSpacing"/>
        <w:rPr>
          <w:rFonts w:ascii="Arial" w:hAnsi="Arial" w:cs="Arial"/>
          <w:b/>
          <w:bCs/>
          <w:szCs w:val="20"/>
        </w:rPr>
      </w:pPr>
      <w:r w:rsidRPr="00C353E8">
        <w:rPr>
          <w:rFonts w:ascii="Arial" w:hAnsi="Arial" w:cs="Arial"/>
          <w:b/>
          <w:bCs/>
          <w:szCs w:val="20"/>
        </w:rPr>
        <w:t>How will delegates be involved throughout this presentation?</w:t>
      </w:r>
    </w:p>
    <w:p w14:paraId="1C60C674" w14:textId="30FD4280" w:rsidR="005430E3" w:rsidRPr="005430E3" w:rsidRDefault="005430E3" w:rsidP="005430E3">
      <w:pPr>
        <w:pStyle w:val="ListParagraph"/>
        <w:numPr>
          <w:ilvl w:val="0"/>
          <w:numId w:val="4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5430E3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>Opportunity for delegates to share their experience with RCS</w:t>
      </w:r>
    </w:p>
    <w:p w14:paraId="47AA0617" w14:textId="63940B64" w:rsidR="005430E3" w:rsidRPr="005430E3" w:rsidRDefault="005430E3" w:rsidP="005430E3">
      <w:pPr>
        <w:pStyle w:val="ListParagraph"/>
        <w:numPr>
          <w:ilvl w:val="0"/>
          <w:numId w:val="4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5430E3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>Opportunity to access the online learning tool</w:t>
      </w:r>
    </w:p>
    <w:p w14:paraId="5EA0549F" w14:textId="48608C7F" w:rsidR="0078646E" w:rsidRPr="005430E3" w:rsidRDefault="005430E3" w:rsidP="005430E3">
      <w:pPr>
        <w:pStyle w:val="ListParagraph"/>
        <w:numPr>
          <w:ilvl w:val="0"/>
          <w:numId w:val="4"/>
        </w:numPr>
        <w:contextualSpacing w:val="0"/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</w:pPr>
      <w:r w:rsidRPr="005430E3">
        <w:rPr>
          <w:rFonts w:ascii="Arial" w:eastAsiaTheme="majorEastAsia" w:hAnsi="Arial" w:cs="Arial"/>
          <w:color w:val="000000" w:themeColor="text1"/>
          <w:sz w:val="20"/>
          <w:szCs w:val="20"/>
          <w:lang w:eastAsia="ja-JP"/>
        </w:rPr>
        <w:t>Interactive Q&amp;A</w:t>
      </w:r>
    </w:p>
    <w:sectPr w:rsidR="0078646E" w:rsidRPr="00543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ilero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AE9"/>
    <w:multiLevelType w:val="hybridMultilevel"/>
    <w:tmpl w:val="53E4D8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10B8"/>
    <w:multiLevelType w:val="hybridMultilevel"/>
    <w:tmpl w:val="3E64F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85E27"/>
    <w:multiLevelType w:val="hybridMultilevel"/>
    <w:tmpl w:val="758A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928CC"/>
    <w:multiLevelType w:val="hybridMultilevel"/>
    <w:tmpl w:val="5FC211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8936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7639379">
    <w:abstractNumId w:val="2"/>
  </w:num>
  <w:num w:numId="3" w16cid:durableId="442311279">
    <w:abstractNumId w:val="1"/>
  </w:num>
  <w:num w:numId="4" w16cid:durableId="15004642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9479326">
    <w:abstractNumId w:val="0"/>
  </w:num>
  <w:num w:numId="6" w16cid:durableId="1559854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6B"/>
    <w:rsid w:val="000466A4"/>
    <w:rsid w:val="00055DF8"/>
    <w:rsid w:val="00071236"/>
    <w:rsid w:val="0008024A"/>
    <w:rsid w:val="000923D2"/>
    <w:rsid w:val="000A3326"/>
    <w:rsid w:val="00114414"/>
    <w:rsid w:val="0015472D"/>
    <w:rsid w:val="00192662"/>
    <w:rsid w:val="001C21A7"/>
    <w:rsid w:val="00204756"/>
    <w:rsid w:val="0020714A"/>
    <w:rsid w:val="00226C0D"/>
    <w:rsid w:val="0025429A"/>
    <w:rsid w:val="00473114"/>
    <w:rsid w:val="0048436B"/>
    <w:rsid w:val="004A1AFC"/>
    <w:rsid w:val="004F4C7A"/>
    <w:rsid w:val="00533EB3"/>
    <w:rsid w:val="005430E3"/>
    <w:rsid w:val="005777B8"/>
    <w:rsid w:val="006673F9"/>
    <w:rsid w:val="00703F20"/>
    <w:rsid w:val="00720C41"/>
    <w:rsid w:val="007255A0"/>
    <w:rsid w:val="00750818"/>
    <w:rsid w:val="0078646E"/>
    <w:rsid w:val="008138AF"/>
    <w:rsid w:val="008246CA"/>
    <w:rsid w:val="00900DE7"/>
    <w:rsid w:val="009200AA"/>
    <w:rsid w:val="00965CF5"/>
    <w:rsid w:val="00994957"/>
    <w:rsid w:val="009F5C72"/>
    <w:rsid w:val="009F7D1C"/>
    <w:rsid w:val="00A20CB1"/>
    <w:rsid w:val="00A53280"/>
    <w:rsid w:val="00A6026E"/>
    <w:rsid w:val="00AE6C79"/>
    <w:rsid w:val="00AF705B"/>
    <w:rsid w:val="00B156F9"/>
    <w:rsid w:val="00B57BD7"/>
    <w:rsid w:val="00BF09D2"/>
    <w:rsid w:val="00C42F46"/>
    <w:rsid w:val="00C4651D"/>
    <w:rsid w:val="00C51C7C"/>
    <w:rsid w:val="00CA3619"/>
    <w:rsid w:val="00CE5686"/>
    <w:rsid w:val="00D079DB"/>
    <w:rsid w:val="00D53BFE"/>
    <w:rsid w:val="00DC774A"/>
    <w:rsid w:val="00DF08B2"/>
    <w:rsid w:val="00E21499"/>
    <w:rsid w:val="00E24849"/>
    <w:rsid w:val="00E6138E"/>
    <w:rsid w:val="00E8199E"/>
    <w:rsid w:val="00E90582"/>
    <w:rsid w:val="00E937DB"/>
    <w:rsid w:val="00EA5DBA"/>
    <w:rsid w:val="00EB0C21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2CBF"/>
  <w15:chartTrackingRefBased/>
  <w15:docId w15:val="{30D52190-ABDE-4711-A39D-2BB98E14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6B"/>
    <w:pPr>
      <w:spacing w:after="0" w:line="240" w:lineRule="auto"/>
    </w:pPr>
    <w:rPr>
      <w:rFonts w:ascii="Calibri" w:hAnsi="Calibri" w:cs="Calibri"/>
      <w:lang w:eastAsia="en-US"/>
    </w:rPr>
  </w:style>
  <w:style w:type="paragraph" w:styleId="Heading1">
    <w:name w:val="heading 1"/>
    <w:aliases w:val="TB Heading 1"/>
    <w:basedOn w:val="Normal"/>
    <w:next w:val="Normal"/>
    <w:link w:val="Heading1Char"/>
    <w:uiPriority w:val="9"/>
    <w:rsid w:val="000802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6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B text"/>
    <w:uiPriority w:val="1"/>
    <w:qFormat/>
    <w:rsid w:val="0008024A"/>
    <w:pPr>
      <w:spacing w:after="0" w:line="240" w:lineRule="auto"/>
      <w:jc w:val="both"/>
    </w:pPr>
    <w:rPr>
      <w:rFonts w:ascii="Aileron" w:hAnsi="Aileron"/>
      <w:sz w:val="20"/>
    </w:rPr>
  </w:style>
  <w:style w:type="character" w:customStyle="1" w:styleId="Heading1Char">
    <w:name w:val="Heading 1 Char"/>
    <w:aliases w:val="TB Heading 1 Char"/>
    <w:basedOn w:val="DefaultParagraphFont"/>
    <w:link w:val="Heading1"/>
    <w:uiPriority w:val="9"/>
    <w:rsid w:val="00080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6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55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EDEYZVM3SA3E-1361323000-34384</_dlc_DocId>
    <_dlc_DocIdUrl xmlns="63a6e35b-1a0d-4b26-8059-9d7fbfec19c3">
      <Url>https://onegp.sharepoint.com/sites/doclib/_layouts/15/DocIdRedir.aspx?ID=EDEYZVM3SA3E-1361323000-34384</Url>
      <Description>EDEYZVM3SA3E-1361323000-34384</Description>
    </_dlc_DocIdUrl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4F0A65-E005-4D0D-9E5A-5B6D7E03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4E93-3980-4B71-A0E2-52A5DB5F5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9A3D9-074B-4021-BC7F-13922806325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customXml/itemProps4.xml><?xml version="1.0" encoding="utf-8"?>
<ds:datastoreItem xmlns:ds="http://schemas.openxmlformats.org/officeDocument/2006/customXml" ds:itemID="{1398D083-BD1A-44D0-A763-67617C434C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Healthcare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Suthers</dc:creator>
  <cp:keywords/>
  <dc:description/>
  <cp:lastModifiedBy>Melissa Avard</cp:lastModifiedBy>
  <cp:revision>6</cp:revision>
  <dcterms:created xsi:type="dcterms:W3CDTF">2022-09-08T02:01:00Z</dcterms:created>
  <dcterms:modified xsi:type="dcterms:W3CDTF">2022-09-09T05:13:00Z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b99eb4b0-dd05-47f8-acb1-9e2204853bfe</vt:lpwstr>
  </property>
</Properties>
</file>