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8C2C5" w14:textId="77777777" w:rsidR="005C4F93" w:rsidRPr="00F87850" w:rsidRDefault="005C4F93" w:rsidP="00E969FA">
      <w:pPr>
        <w:spacing w:after="0"/>
        <w:rPr>
          <w:rFonts w:cstheme="minorHAnsi"/>
          <w:b/>
        </w:rPr>
      </w:pPr>
      <w:r w:rsidRPr="00F87850">
        <w:rPr>
          <w:rFonts w:cstheme="minorHAnsi"/>
          <w:b/>
        </w:rPr>
        <w:t>Title</w:t>
      </w:r>
    </w:p>
    <w:p w14:paraId="269EDF51" w14:textId="079EAA71" w:rsidR="00A90F6E" w:rsidRPr="00F87850" w:rsidRDefault="00A90F6E" w:rsidP="00A90F6E">
      <w:pPr>
        <w:rPr>
          <w:rFonts w:cstheme="minorHAnsi"/>
        </w:rPr>
      </w:pPr>
      <w:r w:rsidRPr="00F87850">
        <w:rPr>
          <w:rFonts w:cstheme="minorHAnsi"/>
        </w:rPr>
        <w:t>Association of general practice registrars’ responses to clinical uncertainty with in-consultation assistance-seeking: a cross-sectional analysis.</w:t>
      </w:r>
    </w:p>
    <w:p w14:paraId="22D3D7DF" w14:textId="77777777" w:rsidR="005C4F93" w:rsidRPr="00F87850" w:rsidRDefault="005C4F93" w:rsidP="00E969FA">
      <w:pPr>
        <w:spacing w:after="0"/>
        <w:rPr>
          <w:rFonts w:cstheme="minorHAnsi"/>
        </w:rPr>
      </w:pPr>
    </w:p>
    <w:p w14:paraId="340D56B6" w14:textId="77777777" w:rsidR="005C4F93" w:rsidRPr="00F87850" w:rsidRDefault="00634A5F" w:rsidP="00E969FA">
      <w:pPr>
        <w:spacing w:after="0"/>
        <w:rPr>
          <w:rFonts w:cstheme="minorHAnsi"/>
          <w:b/>
        </w:rPr>
      </w:pPr>
      <w:r w:rsidRPr="00F87850">
        <w:rPr>
          <w:rFonts w:cstheme="minorHAnsi"/>
          <w:b/>
        </w:rPr>
        <w:t>Author and affiliations</w:t>
      </w:r>
    </w:p>
    <w:p w14:paraId="7F06E4A7" w14:textId="77777777" w:rsidR="00FD1435" w:rsidRDefault="00A90F6E" w:rsidP="00E969FA">
      <w:pPr>
        <w:spacing w:after="0"/>
        <w:rPr>
          <w:rFonts w:cstheme="minorHAnsi"/>
        </w:rPr>
      </w:pPr>
      <w:r w:rsidRPr="00F87850">
        <w:rPr>
          <w:rFonts w:cstheme="minorHAnsi"/>
        </w:rPr>
        <w:t>Parker Magin</w:t>
      </w:r>
      <w:r w:rsidR="00F87850" w:rsidRPr="00F87850">
        <w:rPr>
          <w:rFonts w:cstheme="minorHAnsi"/>
        </w:rPr>
        <w:t xml:space="preserve"> </w:t>
      </w:r>
      <w:r w:rsidR="00F87850" w:rsidRPr="00F87850">
        <w:rPr>
          <w:rFonts w:cstheme="minorHAnsi"/>
          <w:vertAlign w:val="superscript"/>
        </w:rPr>
        <w:t>2,3</w:t>
      </w:r>
      <w:r w:rsidR="00F87850" w:rsidRPr="00F87850">
        <w:rPr>
          <w:rFonts w:cstheme="minorHAnsi"/>
        </w:rPr>
        <w:t xml:space="preserve">, </w:t>
      </w:r>
      <w:r w:rsidRPr="00F87850">
        <w:rPr>
          <w:rFonts w:cstheme="minorHAnsi"/>
        </w:rPr>
        <w:t>Georga Cooke</w:t>
      </w:r>
      <w:r w:rsidR="00F87850" w:rsidRPr="00F87850">
        <w:rPr>
          <w:rFonts w:cstheme="minorHAnsi"/>
        </w:rPr>
        <w:t xml:space="preserve"> </w:t>
      </w:r>
      <w:r w:rsidR="00F87850" w:rsidRPr="00F87850">
        <w:rPr>
          <w:rFonts w:cstheme="minorHAnsi"/>
          <w:vertAlign w:val="superscript"/>
        </w:rPr>
        <w:t>1</w:t>
      </w:r>
      <w:r w:rsidR="00F87850" w:rsidRPr="00F87850">
        <w:rPr>
          <w:rFonts w:cstheme="minorHAnsi"/>
        </w:rPr>
        <w:t xml:space="preserve">, </w:t>
      </w:r>
      <w:r w:rsidRPr="00F87850">
        <w:rPr>
          <w:rFonts w:cstheme="minorHAnsi"/>
        </w:rPr>
        <w:t>Amanda Tapley</w:t>
      </w:r>
      <w:r w:rsidR="00F87850" w:rsidRPr="00F87850">
        <w:rPr>
          <w:rFonts w:cstheme="minorHAnsi"/>
        </w:rPr>
        <w:t xml:space="preserve"> </w:t>
      </w:r>
      <w:r w:rsidR="00F87850" w:rsidRPr="00F87850">
        <w:rPr>
          <w:rFonts w:cstheme="minorHAnsi"/>
          <w:vertAlign w:val="superscript"/>
        </w:rPr>
        <w:t>2,4</w:t>
      </w:r>
      <w:r w:rsidR="00F87850" w:rsidRPr="00F87850">
        <w:rPr>
          <w:rFonts w:cstheme="minorHAnsi"/>
        </w:rPr>
        <w:t xml:space="preserve">, </w:t>
      </w:r>
      <w:r w:rsidRPr="00F87850">
        <w:rPr>
          <w:rFonts w:cstheme="minorHAnsi"/>
        </w:rPr>
        <w:t>Susan Wearne</w:t>
      </w:r>
      <w:r w:rsidR="00F87850" w:rsidRPr="00F87850">
        <w:rPr>
          <w:rFonts w:cstheme="minorHAnsi"/>
        </w:rPr>
        <w:t xml:space="preserve"> </w:t>
      </w:r>
      <w:r w:rsidR="00F87850" w:rsidRPr="00F87850">
        <w:rPr>
          <w:rFonts w:cstheme="minorHAnsi"/>
          <w:vertAlign w:val="superscript"/>
        </w:rPr>
        <w:t>3,5</w:t>
      </w:r>
      <w:r w:rsidR="00F87850" w:rsidRPr="00F87850">
        <w:rPr>
          <w:rFonts w:cstheme="minorHAnsi"/>
        </w:rPr>
        <w:t xml:space="preserve">, </w:t>
      </w:r>
      <w:r w:rsidRPr="00F87850">
        <w:rPr>
          <w:rFonts w:cstheme="minorHAnsi"/>
        </w:rPr>
        <w:t>Elizabeth Holliday</w:t>
      </w:r>
      <w:r w:rsidR="00F87850" w:rsidRPr="00F87850">
        <w:rPr>
          <w:rFonts w:cstheme="minorHAnsi"/>
        </w:rPr>
        <w:t xml:space="preserve"> </w:t>
      </w:r>
      <w:r w:rsidR="00F87850" w:rsidRPr="00F87850">
        <w:rPr>
          <w:rFonts w:cstheme="minorHAnsi"/>
          <w:vertAlign w:val="superscript"/>
        </w:rPr>
        <w:t>4</w:t>
      </w:r>
      <w:r w:rsidR="00F87850" w:rsidRPr="00F87850">
        <w:rPr>
          <w:rFonts w:cstheme="minorHAnsi"/>
        </w:rPr>
        <w:t>,</w:t>
      </w:r>
      <w:r w:rsidR="00FD1435">
        <w:rPr>
          <w:rFonts w:cstheme="minorHAnsi"/>
        </w:rPr>
        <w:t xml:space="preserve"> </w:t>
      </w:r>
    </w:p>
    <w:p w14:paraId="28636D78" w14:textId="0A872E46" w:rsidR="00EA351E" w:rsidRPr="00F87850" w:rsidRDefault="00EA351E" w:rsidP="00E969FA">
      <w:pPr>
        <w:spacing w:after="0"/>
        <w:rPr>
          <w:rFonts w:cstheme="minorHAnsi"/>
        </w:rPr>
      </w:pPr>
      <w:bookmarkStart w:id="0" w:name="_GoBack"/>
      <w:bookmarkEnd w:id="0"/>
      <w:r w:rsidRPr="00F87850">
        <w:rPr>
          <w:rFonts w:cstheme="minorHAnsi"/>
        </w:rPr>
        <w:t>Mieke van Driel</w:t>
      </w:r>
      <w:r w:rsidR="00F87850" w:rsidRPr="00F87850">
        <w:rPr>
          <w:rFonts w:cstheme="minorHAnsi"/>
        </w:rPr>
        <w:t xml:space="preserve"> </w:t>
      </w:r>
      <w:r w:rsidR="00F87850" w:rsidRPr="00F87850">
        <w:rPr>
          <w:rFonts w:cstheme="minorHAnsi"/>
          <w:vertAlign w:val="superscript"/>
        </w:rPr>
        <w:t>1</w:t>
      </w:r>
    </w:p>
    <w:p w14:paraId="0C8E34CE" w14:textId="468C69A6" w:rsidR="00F87850" w:rsidRPr="00F87850" w:rsidRDefault="00F87850" w:rsidP="00E969FA">
      <w:pPr>
        <w:spacing w:after="0"/>
        <w:rPr>
          <w:rFonts w:cstheme="minorHAnsi"/>
        </w:rPr>
      </w:pPr>
    </w:p>
    <w:p w14:paraId="13BDE298" w14:textId="677E07B6" w:rsidR="00F87850" w:rsidRPr="00F87850" w:rsidRDefault="00F87850" w:rsidP="00E969FA">
      <w:pPr>
        <w:spacing w:after="0"/>
        <w:rPr>
          <w:rFonts w:cstheme="minorHAnsi"/>
        </w:rPr>
      </w:pPr>
      <w:r w:rsidRPr="00F87850">
        <w:rPr>
          <w:rFonts w:cstheme="minorHAnsi"/>
          <w:vertAlign w:val="superscript"/>
        </w:rPr>
        <w:t>1</w:t>
      </w:r>
      <w:r w:rsidRPr="00F87850">
        <w:rPr>
          <w:rFonts w:cstheme="minorHAnsi"/>
        </w:rPr>
        <w:t xml:space="preserve"> University of Queensland</w:t>
      </w:r>
    </w:p>
    <w:p w14:paraId="68FABCB6" w14:textId="53C0F611" w:rsidR="00F87850" w:rsidRPr="00F87850" w:rsidRDefault="00F87850" w:rsidP="00E969FA">
      <w:pPr>
        <w:spacing w:after="0"/>
        <w:rPr>
          <w:rFonts w:cstheme="minorHAnsi"/>
        </w:rPr>
      </w:pPr>
      <w:r w:rsidRPr="00F87850">
        <w:rPr>
          <w:rFonts w:cstheme="minorHAnsi"/>
          <w:vertAlign w:val="superscript"/>
        </w:rPr>
        <w:t>2</w:t>
      </w:r>
      <w:r w:rsidRPr="00F87850">
        <w:rPr>
          <w:rFonts w:cstheme="minorHAnsi"/>
        </w:rPr>
        <w:t xml:space="preserve"> GP Synergy</w:t>
      </w:r>
    </w:p>
    <w:p w14:paraId="2CACB99A" w14:textId="149BFAA3" w:rsidR="00F87850" w:rsidRPr="00F87850" w:rsidRDefault="00F87850" w:rsidP="00E969FA">
      <w:pPr>
        <w:spacing w:after="0"/>
        <w:rPr>
          <w:rFonts w:cstheme="minorHAnsi"/>
        </w:rPr>
      </w:pPr>
      <w:r w:rsidRPr="00F87850">
        <w:rPr>
          <w:rFonts w:cstheme="minorHAnsi"/>
          <w:vertAlign w:val="superscript"/>
        </w:rPr>
        <w:t>3</w:t>
      </w:r>
      <w:r w:rsidRPr="00F87850">
        <w:rPr>
          <w:rFonts w:cstheme="minorHAnsi"/>
        </w:rPr>
        <w:t xml:space="preserve"> Australian Department of Health</w:t>
      </w:r>
    </w:p>
    <w:p w14:paraId="6020DD87" w14:textId="7343140D" w:rsidR="00F87850" w:rsidRPr="00F87850" w:rsidRDefault="00F87850" w:rsidP="00E969FA">
      <w:pPr>
        <w:spacing w:after="0"/>
        <w:rPr>
          <w:rFonts w:cstheme="minorHAnsi"/>
        </w:rPr>
      </w:pPr>
      <w:r w:rsidRPr="00F87850">
        <w:rPr>
          <w:rFonts w:cstheme="minorHAnsi"/>
          <w:vertAlign w:val="superscript"/>
        </w:rPr>
        <w:t>4</w:t>
      </w:r>
      <w:r w:rsidRPr="00F87850">
        <w:rPr>
          <w:rFonts w:cstheme="minorHAnsi"/>
        </w:rPr>
        <w:t xml:space="preserve"> University of Newcastle</w:t>
      </w:r>
    </w:p>
    <w:p w14:paraId="6F651FB2" w14:textId="7549426B" w:rsidR="00F87850" w:rsidRPr="00F87850" w:rsidRDefault="00F87850" w:rsidP="00E969FA">
      <w:pPr>
        <w:spacing w:after="0"/>
        <w:rPr>
          <w:rFonts w:cstheme="minorHAnsi"/>
        </w:rPr>
      </w:pPr>
      <w:r w:rsidRPr="00F87850">
        <w:rPr>
          <w:rFonts w:cstheme="minorHAnsi"/>
          <w:vertAlign w:val="superscript"/>
        </w:rPr>
        <w:t>5</w:t>
      </w:r>
      <w:r w:rsidRPr="00F87850">
        <w:rPr>
          <w:rFonts w:cstheme="minorHAnsi"/>
        </w:rPr>
        <w:t xml:space="preserve"> Australian National University</w:t>
      </w:r>
    </w:p>
    <w:p w14:paraId="4C304A60" w14:textId="77777777" w:rsidR="005C4F93" w:rsidRPr="003F534D" w:rsidRDefault="005C4F93" w:rsidP="00E969FA">
      <w:pPr>
        <w:spacing w:after="0"/>
        <w:rPr>
          <w:rFonts w:ascii="Arial" w:hAnsi="Arial" w:cs="Arial"/>
        </w:rPr>
      </w:pPr>
    </w:p>
    <w:p w14:paraId="73A23231" w14:textId="77777777" w:rsidR="00E969FA" w:rsidRPr="003F534D" w:rsidRDefault="00E969FA" w:rsidP="00E969FA">
      <w:pPr>
        <w:spacing w:after="0"/>
        <w:rPr>
          <w:rFonts w:ascii="Arial" w:hAnsi="Arial" w:cs="Arial"/>
        </w:rPr>
      </w:pPr>
    </w:p>
    <w:p w14:paraId="306C8287" w14:textId="77777777" w:rsidR="00E969FA" w:rsidRPr="00F87850" w:rsidRDefault="00E969FA" w:rsidP="00F87850">
      <w:pPr>
        <w:rPr>
          <w:b/>
        </w:rPr>
      </w:pPr>
      <w:r w:rsidRPr="00F87850">
        <w:rPr>
          <w:b/>
        </w:rPr>
        <w:t>Background</w:t>
      </w:r>
    </w:p>
    <w:p w14:paraId="56B134E1" w14:textId="2095D06B" w:rsidR="00A90F6E" w:rsidRDefault="00A90F6E" w:rsidP="00F87850">
      <w:r w:rsidRPr="00385C3B">
        <w:t xml:space="preserve">Uncertainty is </w:t>
      </w:r>
      <w:r>
        <w:t>inevitable</w:t>
      </w:r>
      <w:r w:rsidRPr="00385C3B">
        <w:t xml:space="preserve"> in </w:t>
      </w:r>
      <w:r>
        <w:t xml:space="preserve">general practice. It is proposed to be associated with clinician stress and burnout, inappropriate </w:t>
      </w:r>
      <w:r w:rsidR="006C381B">
        <w:t>clinical decision-making</w:t>
      </w:r>
      <w:r>
        <w:t xml:space="preserve">, and increased health costs.  </w:t>
      </w:r>
      <w:r w:rsidR="00E53D7B">
        <w:t>Registrars’ r</w:t>
      </w:r>
      <w:r>
        <w:t xml:space="preserve">esponses to clinical uncertainty are acknowledged issues in </w:t>
      </w:r>
      <w:r w:rsidR="006C381B">
        <w:t>GP training</w:t>
      </w:r>
      <w:r>
        <w:t xml:space="preserve">. </w:t>
      </w:r>
      <w:r w:rsidR="00E53D7B">
        <w:t>C</w:t>
      </w:r>
      <w:r>
        <w:t xml:space="preserve">linical uncertainty </w:t>
      </w:r>
      <w:r w:rsidR="00E53D7B">
        <w:t>could</w:t>
      </w:r>
      <w:r>
        <w:t xml:space="preserve"> </w:t>
      </w:r>
      <w:r w:rsidR="006C381B">
        <w:t xml:space="preserve">plausibly </w:t>
      </w:r>
      <w:r>
        <w:t xml:space="preserve">influence </w:t>
      </w:r>
      <w:r w:rsidR="00E53D7B">
        <w:t>r</w:t>
      </w:r>
      <w:r>
        <w:t xml:space="preserve">egistrars’ seeking of information or assistance, including from their clinical supervisors, during patient consultations. </w:t>
      </w:r>
      <w:r w:rsidR="00E53D7B">
        <w:t>R</w:t>
      </w:r>
      <w:r>
        <w:t>egistrar</w:t>
      </w:r>
      <w:r w:rsidR="00E53D7B">
        <w:t>s finding answers to clinical questions during</w:t>
      </w:r>
      <w:r>
        <w:t xml:space="preserve"> consultations is a vital aspect of </w:t>
      </w:r>
      <w:r w:rsidR="00E53D7B">
        <w:t xml:space="preserve">their care of </w:t>
      </w:r>
      <w:r>
        <w:t>patient</w:t>
      </w:r>
      <w:r w:rsidR="00E53D7B">
        <w:t xml:space="preserve">s and important for patient </w:t>
      </w:r>
      <w:r>
        <w:t>safety</w:t>
      </w:r>
      <w:r w:rsidR="00E53D7B">
        <w:t xml:space="preserve">. It is also </w:t>
      </w:r>
      <w:r>
        <w:t>a rich source of registrar learning.</w:t>
      </w:r>
      <w:r w:rsidRPr="00385C3B">
        <w:t xml:space="preserve"> </w:t>
      </w:r>
      <w:r w:rsidR="00E53D7B">
        <w:t>But it</w:t>
      </w:r>
      <w:r>
        <w:t xml:space="preserve"> has implications for supervisor workload.</w:t>
      </w:r>
    </w:p>
    <w:p w14:paraId="345292D2" w14:textId="67AA94E9" w:rsidR="00E969FA" w:rsidRPr="003F534D" w:rsidRDefault="00E969FA" w:rsidP="00F87850"/>
    <w:p w14:paraId="07076EE3" w14:textId="750A8FE6" w:rsidR="00E969FA" w:rsidRPr="00F87850" w:rsidRDefault="00E969FA" w:rsidP="00F87850">
      <w:pPr>
        <w:rPr>
          <w:b/>
        </w:rPr>
      </w:pPr>
      <w:r w:rsidRPr="00F87850">
        <w:rPr>
          <w:b/>
        </w:rPr>
        <w:t>Aims</w:t>
      </w:r>
    </w:p>
    <w:p w14:paraId="26CBA460" w14:textId="77777777" w:rsidR="00B2437F" w:rsidRDefault="00B2437F" w:rsidP="00F87850">
      <w:r>
        <w:t>We sought to establish the association of registrar responses to uncertainty with GP registrars’ in-consultation information-, advice- and assistance-seeking.</w:t>
      </w:r>
    </w:p>
    <w:p w14:paraId="4335BB21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7F58B175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04380D13" w14:textId="717268EA" w:rsidR="00E969FA" w:rsidRPr="00F87850" w:rsidRDefault="00E969FA" w:rsidP="00F87850">
      <w:pPr>
        <w:rPr>
          <w:b/>
        </w:rPr>
      </w:pPr>
      <w:r w:rsidRPr="00F87850">
        <w:rPr>
          <w:b/>
        </w:rPr>
        <w:t>Method</w:t>
      </w:r>
    </w:p>
    <w:p w14:paraId="26F49D86" w14:textId="219DC963" w:rsidR="00B2437F" w:rsidRDefault="00B2437F" w:rsidP="00F87850">
      <w:r>
        <w:t xml:space="preserve">A cross-sectional analysis of data from the Registrar Clinical Encounters in Training (ReCEnT) cohort study. Outcome factors in </w:t>
      </w:r>
      <w:r w:rsidR="00A567A5">
        <w:t>logistic</w:t>
      </w:r>
      <w:r>
        <w:t xml:space="preserve"> regression models were whether the registrar sought in-consultation information or assistance from a) their supervisor; or b) an electronic or paper-based source. Independent variables were the four independent subscales of the Physicians’ Reaction to Uncertainty (PRU) instrument plus registrar, practice and consultation variables. </w:t>
      </w:r>
    </w:p>
    <w:p w14:paraId="755A3843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212D628B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652A403E" w14:textId="77777777" w:rsidR="00E969FA" w:rsidRPr="00F87850" w:rsidRDefault="00E969FA" w:rsidP="00E969FA">
      <w:pPr>
        <w:spacing w:after="0"/>
        <w:rPr>
          <w:rFonts w:cstheme="minorHAnsi"/>
          <w:b/>
        </w:rPr>
      </w:pPr>
      <w:r w:rsidRPr="00F87850">
        <w:rPr>
          <w:rFonts w:cstheme="minorHAnsi"/>
          <w:b/>
        </w:rPr>
        <w:t>Results</w:t>
      </w:r>
    </w:p>
    <w:p w14:paraId="20EF6AE2" w14:textId="77777777" w:rsidR="00E969FA" w:rsidRPr="00F87850" w:rsidRDefault="00E969FA" w:rsidP="00E969FA">
      <w:pPr>
        <w:pStyle w:val="NoSpacing"/>
        <w:rPr>
          <w:rFonts w:cstheme="minorHAnsi"/>
        </w:rPr>
      </w:pPr>
    </w:p>
    <w:p w14:paraId="09867FAD" w14:textId="77777777" w:rsidR="00B2437F" w:rsidRPr="00F87850" w:rsidRDefault="00B2437F" w:rsidP="00F87850">
      <w:pPr>
        <w:rPr>
          <w:rFonts w:cstheme="minorHAnsi"/>
        </w:rPr>
      </w:pPr>
      <w:r w:rsidRPr="00F87850">
        <w:rPr>
          <w:rFonts w:cstheme="minorHAnsi"/>
        </w:rPr>
        <w:t>589 registrars contributed details of 70,412 individual consultations.</w:t>
      </w:r>
    </w:p>
    <w:p w14:paraId="07DCC4C0" w14:textId="2B0E3F13" w:rsidR="00B2437F" w:rsidRPr="00F87850" w:rsidRDefault="00B2437F" w:rsidP="00F87850">
      <w:pPr>
        <w:rPr>
          <w:rFonts w:cstheme="minorHAnsi"/>
        </w:rPr>
      </w:pPr>
      <w:r w:rsidRPr="00F87850">
        <w:rPr>
          <w:rFonts w:cstheme="minorHAnsi"/>
        </w:rPr>
        <w:t>On multivariable analysis, registrars’ scores on the two ‘affective’ PRU subscales ‘Anxiety regarding diagnosis/management’ (OR 1.03; 95%CIs [1.01, 1.05], p=0.003) and ‘Concern about a bad outcome’ (OR 1.03; 95%CIs [1.01, 1.06], p=0.008) were significantly associated with seeking supervisor advice or assistance. There was no association with the other two PRU sub-scales, ‘Reluctance to disclose uncertainty to patients’ and ‘Reluctance to disclose mistakes to physicians’.</w:t>
      </w:r>
    </w:p>
    <w:p w14:paraId="3B74B65E" w14:textId="77777777" w:rsidR="00B2437F" w:rsidRPr="00F87850" w:rsidRDefault="00B2437F" w:rsidP="00F87850">
      <w:pPr>
        <w:rPr>
          <w:rFonts w:cstheme="minorHAnsi"/>
        </w:rPr>
      </w:pPr>
      <w:r w:rsidRPr="00F87850">
        <w:rPr>
          <w:rFonts w:cstheme="minorHAnsi"/>
        </w:rPr>
        <w:lastRenderedPageBreak/>
        <w:t>None of the four PRU subscales were significantly associated with seeking information from electronic or hard-copy sources.</w:t>
      </w:r>
    </w:p>
    <w:p w14:paraId="1BE42A35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1B33FF62" w14:textId="77777777" w:rsidR="00E969FA" w:rsidRPr="003F534D" w:rsidRDefault="00E969FA" w:rsidP="00E969FA">
      <w:pPr>
        <w:pStyle w:val="NoSpacing"/>
        <w:rPr>
          <w:rFonts w:ascii="Arial" w:hAnsi="Arial" w:cs="Arial"/>
        </w:rPr>
      </w:pPr>
    </w:p>
    <w:p w14:paraId="07EFDABB" w14:textId="758D5046" w:rsidR="00E969FA" w:rsidRPr="00F87850" w:rsidRDefault="00E969FA" w:rsidP="00F87850">
      <w:pPr>
        <w:rPr>
          <w:b/>
        </w:rPr>
      </w:pPr>
      <w:r w:rsidRPr="00F87850">
        <w:rPr>
          <w:b/>
        </w:rPr>
        <w:t>Conclusion</w:t>
      </w:r>
    </w:p>
    <w:p w14:paraId="088E59C8" w14:textId="6190ACCA" w:rsidR="00B2437F" w:rsidRDefault="00B2437F" w:rsidP="00F87850">
      <w:r>
        <w:t xml:space="preserve">GP registrars’ ‘affective’ responses to uncertainty are associated with assistance-seeking from clinical supervisors. In-consultation assistance-seeking may attenuate clinical uncertainty and promote registrars’ tolerance of uncertainty, but may also contribute to supervisor workload.  </w:t>
      </w:r>
    </w:p>
    <w:p w14:paraId="035FE059" w14:textId="782F1E8D" w:rsidR="007A3219" w:rsidRDefault="007A3219" w:rsidP="00A364F0">
      <w:pPr>
        <w:spacing w:after="0"/>
        <w:rPr>
          <w:rFonts w:ascii="Arial" w:hAnsi="Arial" w:cs="Arial"/>
        </w:rPr>
      </w:pPr>
    </w:p>
    <w:sectPr w:rsidR="007A3219" w:rsidSect="00B20279">
      <w:type w:val="continuous"/>
      <w:pgSz w:w="11906" w:h="16838"/>
      <w:pgMar w:top="1276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7E35E" w14:textId="77777777" w:rsidR="00051935" w:rsidRDefault="00051935" w:rsidP="00DB6276">
      <w:pPr>
        <w:spacing w:after="0" w:line="240" w:lineRule="auto"/>
      </w:pPr>
      <w:r>
        <w:separator/>
      </w:r>
    </w:p>
  </w:endnote>
  <w:endnote w:type="continuationSeparator" w:id="0">
    <w:p w14:paraId="2BDE41B6" w14:textId="77777777" w:rsidR="00051935" w:rsidRDefault="00051935" w:rsidP="00D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C72BF" w14:textId="77777777" w:rsidR="00051935" w:rsidRDefault="00051935" w:rsidP="00DB6276">
      <w:pPr>
        <w:spacing w:after="0" w:line="240" w:lineRule="auto"/>
      </w:pPr>
      <w:r>
        <w:separator/>
      </w:r>
    </w:p>
  </w:footnote>
  <w:footnote w:type="continuationSeparator" w:id="0">
    <w:p w14:paraId="5BCCDDB2" w14:textId="77777777" w:rsidR="00051935" w:rsidRDefault="00051935" w:rsidP="00DB6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3FB"/>
    <w:multiLevelType w:val="multilevel"/>
    <w:tmpl w:val="C658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84C4C"/>
    <w:multiLevelType w:val="multilevel"/>
    <w:tmpl w:val="6A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82BD3"/>
    <w:multiLevelType w:val="hybridMultilevel"/>
    <w:tmpl w:val="D3120B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BF69E7"/>
    <w:multiLevelType w:val="multilevel"/>
    <w:tmpl w:val="2FEE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66B2A"/>
    <w:multiLevelType w:val="multilevel"/>
    <w:tmpl w:val="E9AC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A01EC"/>
    <w:multiLevelType w:val="multilevel"/>
    <w:tmpl w:val="BB38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61108C"/>
    <w:multiLevelType w:val="multilevel"/>
    <w:tmpl w:val="E02C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3511D"/>
    <w:multiLevelType w:val="multilevel"/>
    <w:tmpl w:val="F4421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63674F"/>
    <w:multiLevelType w:val="hybridMultilevel"/>
    <w:tmpl w:val="2B4EDE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A2163"/>
    <w:multiLevelType w:val="multilevel"/>
    <w:tmpl w:val="2E52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1603A4"/>
    <w:multiLevelType w:val="multilevel"/>
    <w:tmpl w:val="B05C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322929"/>
    <w:multiLevelType w:val="hybridMultilevel"/>
    <w:tmpl w:val="A9BE87E8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B6FF7"/>
    <w:multiLevelType w:val="multilevel"/>
    <w:tmpl w:val="59D4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9645A9"/>
    <w:multiLevelType w:val="multilevel"/>
    <w:tmpl w:val="4E5A5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114B89"/>
    <w:multiLevelType w:val="multilevel"/>
    <w:tmpl w:val="12D4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0F46E7"/>
    <w:multiLevelType w:val="multilevel"/>
    <w:tmpl w:val="C026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960C96"/>
    <w:multiLevelType w:val="multilevel"/>
    <w:tmpl w:val="09844A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51091490"/>
    <w:multiLevelType w:val="hybridMultilevel"/>
    <w:tmpl w:val="364C48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23F5B"/>
    <w:multiLevelType w:val="multilevel"/>
    <w:tmpl w:val="9F309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0F2BB3"/>
    <w:multiLevelType w:val="multilevel"/>
    <w:tmpl w:val="7E981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DC230F"/>
    <w:multiLevelType w:val="hybridMultilevel"/>
    <w:tmpl w:val="6E9026F4"/>
    <w:lvl w:ilvl="0" w:tplc="0C09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D0E75"/>
    <w:multiLevelType w:val="multilevel"/>
    <w:tmpl w:val="9AEA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D909CD"/>
    <w:multiLevelType w:val="multilevel"/>
    <w:tmpl w:val="56F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04090E"/>
    <w:multiLevelType w:val="multilevel"/>
    <w:tmpl w:val="34E23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20235A"/>
    <w:multiLevelType w:val="multilevel"/>
    <w:tmpl w:val="CE5C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CB4BE8"/>
    <w:multiLevelType w:val="hybridMultilevel"/>
    <w:tmpl w:val="6E2C1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E93E22"/>
    <w:multiLevelType w:val="hybridMultilevel"/>
    <w:tmpl w:val="C2002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24"/>
  </w:num>
  <w:num w:numId="5">
    <w:abstractNumId w:val="12"/>
  </w:num>
  <w:num w:numId="6">
    <w:abstractNumId w:val="22"/>
  </w:num>
  <w:num w:numId="7">
    <w:abstractNumId w:val="7"/>
  </w:num>
  <w:num w:numId="8">
    <w:abstractNumId w:val="13"/>
  </w:num>
  <w:num w:numId="9">
    <w:abstractNumId w:val="6"/>
  </w:num>
  <w:num w:numId="10">
    <w:abstractNumId w:val="21"/>
  </w:num>
  <w:num w:numId="11">
    <w:abstractNumId w:val="14"/>
  </w:num>
  <w:num w:numId="12">
    <w:abstractNumId w:val="4"/>
  </w:num>
  <w:num w:numId="13">
    <w:abstractNumId w:val="0"/>
  </w:num>
  <w:num w:numId="14">
    <w:abstractNumId w:val="23"/>
  </w:num>
  <w:num w:numId="15">
    <w:abstractNumId w:val="1"/>
  </w:num>
  <w:num w:numId="16">
    <w:abstractNumId w:val="16"/>
  </w:num>
  <w:num w:numId="17">
    <w:abstractNumId w:val="3"/>
  </w:num>
  <w:num w:numId="18">
    <w:abstractNumId w:val="20"/>
  </w:num>
  <w:num w:numId="1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7"/>
  </w:num>
  <w:num w:numId="22">
    <w:abstractNumId w:val="18"/>
  </w:num>
  <w:num w:numId="23">
    <w:abstractNumId w:val="19"/>
  </w:num>
  <w:num w:numId="24">
    <w:abstractNumId w:val="11"/>
  </w:num>
  <w:num w:numId="25">
    <w:abstractNumId w:val="25"/>
  </w:num>
  <w:num w:numId="26">
    <w:abstractNumId w:val="26"/>
  </w:num>
  <w:num w:numId="27">
    <w:abstractNumId w:val="2"/>
  </w:num>
  <w:num w:numId="28">
    <w:abstractNumId w:val="9"/>
  </w:num>
  <w:num w:numId="2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F6"/>
    <w:rsid w:val="0000578B"/>
    <w:rsid w:val="00051935"/>
    <w:rsid w:val="000530F3"/>
    <w:rsid w:val="0006205D"/>
    <w:rsid w:val="00065794"/>
    <w:rsid w:val="0009481D"/>
    <w:rsid w:val="000A005C"/>
    <w:rsid w:val="000D1EB3"/>
    <w:rsid w:val="001A0E12"/>
    <w:rsid w:val="001A7273"/>
    <w:rsid w:val="00204AE2"/>
    <w:rsid w:val="002061A7"/>
    <w:rsid w:val="00226C37"/>
    <w:rsid w:val="00237188"/>
    <w:rsid w:val="00280087"/>
    <w:rsid w:val="002C520E"/>
    <w:rsid w:val="002D1372"/>
    <w:rsid w:val="002D267A"/>
    <w:rsid w:val="002D6E16"/>
    <w:rsid w:val="00323232"/>
    <w:rsid w:val="003319CA"/>
    <w:rsid w:val="0037377D"/>
    <w:rsid w:val="003A5C47"/>
    <w:rsid w:val="003B56C9"/>
    <w:rsid w:val="003C0B6D"/>
    <w:rsid w:val="003D7F5C"/>
    <w:rsid w:val="004806DA"/>
    <w:rsid w:val="004A4C8F"/>
    <w:rsid w:val="004A7DF6"/>
    <w:rsid w:val="004A7F18"/>
    <w:rsid w:val="004C4FEF"/>
    <w:rsid w:val="004D35FA"/>
    <w:rsid w:val="004F5E9D"/>
    <w:rsid w:val="00556C76"/>
    <w:rsid w:val="00561AD8"/>
    <w:rsid w:val="005C4F93"/>
    <w:rsid w:val="005C6671"/>
    <w:rsid w:val="00601E69"/>
    <w:rsid w:val="006150A8"/>
    <w:rsid w:val="00634A5F"/>
    <w:rsid w:val="00687FF6"/>
    <w:rsid w:val="006C381B"/>
    <w:rsid w:val="006D10CF"/>
    <w:rsid w:val="00710036"/>
    <w:rsid w:val="007340C2"/>
    <w:rsid w:val="007948DB"/>
    <w:rsid w:val="007A3219"/>
    <w:rsid w:val="007A4975"/>
    <w:rsid w:val="008426B4"/>
    <w:rsid w:val="00866BFD"/>
    <w:rsid w:val="008A6431"/>
    <w:rsid w:val="008B74D6"/>
    <w:rsid w:val="008D7BF0"/>
    <w:rsid w:val="00937FEB"/>
    <w:rsid w:val="0098351A"/>
    <w:rsid w:val="00984CE1"/>
    <w:rsid w:val="00995919"/>
    <w:rsid w:val="009C7760"/>
    <w:rsid w:val="009F1798"/>
    <w:rsid w:val="00A06D50"/>
    <w:rsid w:val="00A12B60"/>
    <w:rsid w:val="00A270EE"/>
    <w:rsid w:val="00A351B9"/>
    <w:rsid w:val="00A364F0"/>
    <w:rsid w:val="00A37C03"/>
    <w:rsid w:val="00A4054A"/>
    <w:rsid w:val="00A567A5"/>
    <w:rsid w:val="00A606C7"/>
    <w:rsid w:val="00A80054"/>
    <w:rsid w:val="00A848B4"/>
    <w:rsid w:val="00A90F6E"/>
    <w:rsid w:val="00AA6275"/>
    <w:rsid w:val="00AA7219"/>
    <w:rsid w:val="00AC7F73"/>
    <w:rsid w:val="00AE5A5E"/>
    <w:rsid w:val="00B03208"/>
    <w:rsid w:val="00B12D26"/>
    <w:rsid w:val="00B20279"/>
    <w:rsid w:val="00B2437F"/>
    <w:rsid w:val="00B65FEF"/>
    <w:rsid w:val="00B730A7"/>
    <w:rsid w:val="00BB4F24"/>
    <w:rsid w:val="00BD3208"/>
    <w:rsid w:val="00BD72AD"/>
    <w:rsid w:val="00C218BD"/>
    <w:rsid w:val="00C3505E"/>
    <w:rsid w:val="00C4224F"/>
    <w:rsid w:val="00C426BE"/>
    <w:rsid w:val="00C976AE"/>
    <w:rsid w:val="00CA4098"/>
    <w:rsid w:val="00CE389D"/>
    <w:rsid w:val="00D22221"/>
    <w:rsid w:val="00D56905"/>
    <w:rsid w:val="00D675D7"/>
    <w:rsid w:val="00D75A93"/>
    <w:rsid w:val="00D91638"/>
    <w:rsid w:val="00D94D46"/>
    <w:rsid w:val="00DB6276"/>
    <w:rsid w:val="00DC7A66"/>
    <w:rsid w:val="00DD428F"/>
    <w:rsid w:val="00DE0E61"/>
    <w:rsid w:val="00DF2A39"/>
    <w:rsid w:val="00E25F07"/>
    <w:rsid w:val="00E276B8"/>
    <w:rsid w:val="00E27C34"/>
    <w:rsid w:val="00E36586"/>
    <w:rsid w:val="00E47A4C"/>
    <w:rsid w:val="00E53D7B"/>
    <w:rsid w:val="00E55FB0"/>
    <w:rsid w:val="00E969FA"/>
    <w:rsid w:val="00EA351E"/>
    <w:rsid w:val="00EA51A6"/>
    <w:rsid w:val="00EC46E6"/>
    <w:rsid w:val="00ED7C3D"/>
    <w:rsid w:val="00EE417F"/>
    <w:rsid w:val="00EE42F8"/>
    <w:rsid w:val="00F12827"/>
    <w:rsid w:val="00F21792"/>
    <w:rsid w:val="00F75019"/>
    <w:rsid w:val="00F87850"/>
    <w:rsid w:val="00F903F1"/>
    <w:rsid w:val="00FA1A9A"/>
    <w:rsid w:val="00FD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5D5B53"/>
  <w15:chartTrackingRefBased/>
  <w15:docId w15:val="{0FE5F231-FD2E-4C93-ADC2-876B884C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2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-ereg-styling">
    <w:name w:val="no-ereg-styling"/>
    <w:basedOn w:val="Normal"/>
    <w:rsid w:val="0068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-ereg-styling1">
    <w:name w:val="no-ereg-styling1"/>
    <w:basedOn w:val="DefaultParagraphFont"/>
    <w:rsid w:val="00687FF6"/>
  </w:style>
  <w:style w:type="character" w:customStyle="1" w:styleId="apple-converted-space">
    <w:name w:val="apple-converted-space"/>
    <w:basedOn w:val="DefaultParagraphFont"/>
    <w:rsid w:val="00687FF6"/>
  </w:style>
  <w:style w:type="character" w:styleId="Hyperlink">
    <w:name w:val="Hyperlink"/>
    <w:basedOn w:val="DefaultParagraphFont"/>
    <w:uiPriority w:val="99"/>
    <w:unhideWhenUsed/>
    <w:rsid w:val="00687FF6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25F07"/>
    <w:rPr>
      <w:color w:val="808080"/>
    </w:rPr>
  </w:style>
  <w:style w:type="paragraph" w:styleId="ListParagraph">
    <w:name w:val="List Paragraph"/>
    <w:basedOn w:val="Normal"/>
    <w:uiPriority w:val="34"/>
    <w:qFormat/>
    <w:rsid w:val="00B730A7"/>
    <w:pPr>
      <w:spacing w:after="0" w:line="240" w:lineRule="auto"/>
      <w:ind w:left="720"/>
    </w:pPr>
    <w:rPr>
      <w:rFonts w:ascii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2C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C520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C52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C520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276"/>
  </w:style>
  <w:style w:type="paragraph" w:styleId="Footer">
    <w:name w:val="footer"/>
    <w:basedOn w:val="Normal"/>
    <w:link w:val="FooterChar"/>
    <w:uiPriority w:val="99"/>
    <w:unhideWhenUsed/>
    <w:rsid w:val="00DB6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276"/>
  </w:style>
  <w:style w:type="table" w:styleId="TableGrid">
    <w:name w:val="Table Grid"/>
    <w:basedOn w:val="TableNormal"/>
    <w:uiPriority w:val="39"/>
    <w:rsid w:val="00AA6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3793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494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31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81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22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6499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44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42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716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53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65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736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121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0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32035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2987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528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1DAB2-E8F1-4B91-B3BD-A66D3593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Bergeron</dc:creator>
  <cp:keywords/>
  <dc:description/>
  <cp:lastModifiedBy>Melissa Avard</cp:lastModifiedBy>
  <cp:revision>3</cp:revision>
  <dcterms:created xsi:type="dcterms:W3CDTF">2018-03-04T03:39:00Z</dcterms:created>
  <dcterms:modified xsi:type="dcterms:W3CDTF">2018-03-04T03:39:00Z</dcterms:modified>
</cp:coreProperties>
</file>