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A52" w:rsidRDefault="005C4F93" w:rsidP="00D17A52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17A52">
        <w:rPr>
          <w:rFonts w:ascii="Arial" w:hAnsi="Arial" w:cs="Arial"/>
          <w:b/>
          <w:sz w:val="20"/>
          <w:szCs w:val="20"/>
        </w:rPr>
        <w:t>Title</w:t>
      </w:r>
    </w:p>
    <w:p w:rsidR="005C4F93" w:rsidRPr="00D17A52" w:rsidRDefault="00D17A52" w:rsidP="00D17A52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sz w:val="20"/>
          <w:szCs w:val="20"/>
        </w:rPr>
        <w:t>Implementing Choosing Wisely Australia</w:t>
      </w:r>
    </w:p>
    <w:p w:rsidR="005C4F93" w:rsidRPr="00D17A52" w:rsidRDefault="005C4F93" w:rsidP="00E969FA">
      <w:pPr>
        <w:spacing w:after="0"/>
        <w:rPr>
          <w:rFonts w:ascii="Arial" w:hAnsi="Arial" w:cs="Arial"/>
          <w:sz w:val="20"/>
          <w:szCs w:val="20"/>
        </w:rPr>
      </w:pPr>
    </w:p>
    <w:p w:rsidR="00D17A52" w:rsidRDefault="00634A5F" w:rsidP="00D17A52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b/>
          <w:sz w:val="20"/>
          <w:szCs w:val="20"/>
        </w:rPr>
        <w:t>Author and affiliations</w:t>
      </w:r>
    </w:p>
    <w:p w:rsidR="005C4F93" w:rsidRPr="00D17A52" w:rsidRDefault="00D17A52" w:rsidP="00D17A52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sz w:val="20"/>
          <w:szCs w:val="20"/>
        </w:rPr>
        <w:t>Clare Delaney, Robyn Lindner, Aine Cadden, Rachel Holbrook, Vanessa Simpson</w:t>
      </w:r>
    </w:p>
    <w:p w:rsidR="00E969FA" w:rsidRPr="00D17A52" w:rsidRDefault="00E969FA" w:rsidP="00E969FA">
      <w:pPr>
        <w:spacing w:after="0"/>
        <w:rPr>
          <w:rFonts w:ascii="Arial" w:hAnsi="Arial" w:cs="Arial"/>
          <w:sz w:val="20"/>
          <w:szCs w:val="20"/>
        </w:rPr>
      </w:pPr>
    </w:p>
    <w:p w:rsidR="00E969FA" w:rsidRPr="00D17A52" w:rsidRDefault="00E969FA" w:rsidP="00E969FA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b/>
          <w:sz w:val="20"/>
          <w:szCs w:val="20"/>
        </w:rPr>
        <w:t>Background</w:t>
      </w:r>
    </w:p>
    <w:p w:rsidR="00D17A52" w:rsidRPr="00D17A52" w:rsidRDefault="00D17A52" w:rsidP="00D17A52">
      <w:pPr>
        <w:rPr>
          <w:rFonts w:ascii="Arial" w:hAnsi="Arial" w:cs="Arial"/>
          <w:sz w:val="20"/>
          <w:szCs w:val="20"/>
        </w:rPr>
      </w:pPr>
      <w:r w:rsidRPr="00D17A52">
        <w:rPr>
          <w:rFonts w:ascii="Arial" w:eastAsia="Times New Roman" w:hAnsi="Arial" w:cs="Arial"/>
          <w:sz w:val="20"/>
          <w:szCs w:val="20"/>
          <w:lang w:eastAsia="en-AU"/>
        </w:rPr>
        <w:t>The Choosing Wisely Australia (CWA) initiative </w:t>
      </w:r>
      <w:r w:rsidRPr="00D17A52">
        <w:rPr>
          <w:rFonts w:ascii="Arial" w:hAnsi="Arial" w:cs="Arial"/>
          <w:sz w:val="20"/>
          <w:szCs w:val="20"/>
          <w:shd w:val="clear" w:color="auto" w:fill="FFFFFF"/>
        </w:rPr>
        <w:t>helps clinicians and patients engage in conversations about unnecessary tests, treatments and procedures.</w:t>
      </w:r>
    </w:p>
    <w:p w:rsidR="00E969FA" w:rsidRPr="00D17A52" w:rsidRDefault="00D17A52" w:rsidP="00D17A52">
      <w:pPr>
        <w:rPr>
          <w:rFonts w:ascii="Arial" w:eastAsia="Times New Roman" w:hAnsi="Arial" w:cs="Arial"/>
          <w:color w:val="221E20"/>
          <w:sz w:val="20"/>
          <w:szCs w:val="20"/>
          <w:lang w:eastAsia="en-AU"/>
        </w:rPr>
      </w:pPr>
      <w:r w:rsidRPr="00D17A52">
        <w:rPr>
          <w:rFonts w:ascii="Arial" w:eastAsia="Times New Roman" w:hAnsi="Arial" w:cs="Arial"/>
          <w:color w:val="221E20"/>
          <w:sz w:val="20"/>
          <w:szCs w:val="20"/>
          <w:lang w:eastAsia="en-AU"/>
        </w:rPr>
        <w:t xml:space="preserve">CWA is led by Australia’s colleges, societies and associations with </w:t>
      </w:r>
      <w:hyperlink r:id="rId7" w:history="1">
        <w:r w:rsidRPr="00D17A52">
          <w:rPr>
            <w:rFonts w:ascii="Arial" w:eastAsia="Times New Roman" w:hAnsi="Arial" w:cs="Arial"/>
            <w:sz w:val="20"/>
            <w:szCs w:val="20"/>
            <w:lang w:eastAsia="en-AU"/>
          </w:rPr>
          <w:t>NPS MedicineWise</w:t>
        </w:r>
      </w:hyperlink>
      <w:r w:rsidRPr="00D17A52">
        <w:rPr>
          <w:rFonts w:ascii="Arial" w:eastAsia="Times New Roman" w:hAnsi="Arial" w:cs="Arial"/>
          <w:sz w:val="20"/>
          <w:szCs w:val="20"/>
          <w:lang w:eastAsia="en-AU"/>
        </w:rPr>
        <w:t xml:space="preserve"> (NPSMW) facilitation. Lists of health practices to question have been developed. </w:t>
      </w:r>
      <w:r w:rsidRPr="00D17A52">
        <w:rPr>
          <w:rFonts w:ascii="Arial" w:eastAsia="Times New Roman" w:hAnsi="Arial" w:cs="Arial"/>
          <w:color w:val="221E20"/>
          <w:sz w:val="20"/>
          <w:szCs w:val="20"/>
          <w:lang w:eastAsia="en-AU"/>
        </w:rPr>
        <w:t xml:space="preserve">Multifaceted implementation strategies are key to reducing problematic practices. </w:t>
      </w:r>
    </w:p>
    <w:p w:rsidR="00E969FA" w:rsidRPr="00D17A52" w:rsidRDefault="00E969FA" w:rsidP="00D17A52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b/>
          <w:sz w:val="20"/>
          <w:szCs w:val="20"/>
        </w:rPr>
        <w:t>Aims</w:t>
      </w:r>
    </w:p>
    <w:p w:rsidR="00E969FA" w:rsidRPr="00D17A52" w:rsidRDefault="00D17A52" w:rsidP="00D17A52">
      <w:pPr>
        <w:pStyle w:val="BodyText"/>
        <w:spacing w:before="0" w:after="160"/>
        <w:rPr>
          <w:rFonts w:ascii="Arial" w:hAnsi="Arial" w:cs="Arial"/>
          <w:szCs w:val="20"/>
        </w:rPr>
      </w:pPr>
      <w:r w:rsidRPr="00D17A52">
        <w:rPr>
          <w:rFonts w:ascii="Arial" w:hAnsi="Arial" w:cs="Arial"/>
          <w:szCs w:val="20"/>
        </w:rPr>
        <w:t>To embed CWA recommendations into multifaceted NPSMW general practice programs to reduce unnecessary tests, treatments and procedures, supporting improved</w:t>
      </w:r>
      <w:r w:rsidRPr="00D17A52">
        <w:rPr>
          <w:rFonts w:ascii="Arial" w:hAnsi="Arial" w:cs="Arial"/>
          <w:color w:val="221E20"/>
          <w:szCs w:val="20"/>
        </w:rPr>
        <w:t xml:space="preserve"> quality use of medicines and medical tests</w:t>
      </w:r>
      <w:r w:rsidRPr="00D17A52">
        <w:rPr>
          <w:rFonts w:ascii="Arial" w:hAnsi="Arial" w:cs="Arial"/>
          <w:szCs w:val="20"/>
        </w:rPr>
        <w:t>.</w:t>
      </w:r>
    </w:p>
    <w:p w:rsidR="00E969FA" w:rsidRPr="00D17A52" w:rsidRDefault="00E969FA" w:rsidP="00E969FA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b/>
          <w:sz w:val="20"/>
          <w:szCs w:val="20"/>
        </w:rPr>
        <w:t>Method</w:t>
      </w:r>
    </w:p>
    <w:p w:rsidR="00D17A52" w:rsidRPr="00D17A52" w:rsidRDefault="00D17A52" w:rsidP="00D17A52">
      <w:pPr>
        <w:pStyle w:val="BodyText"/>
        <w:spacing w:before="0" w:after="160"/>
        <w:rPr>
          <w:rFonts w:ascii="Arial" w:hAnsi="Arial" w:cs="Arial"/>
          <w:szCs w:val="20"/>
        </w:rPr>
      </w:pPr>
      <w:r w:rsidRPr="00D17A52">
        <w:rPr>
          <w:rFonts w:ascii="Arial" w:hAnsi="Arial" w:cs="Arial"/>
          <w:szCs w:val="20"/>
          <w:lang w:eastAsia="en-US"/>
        </w:rPr>
        <w:t>Literature</w:t>
      </w:r>
      <w:r w:rsidRPr="00D17A52">
        <w:rPr>
          <w:rFonts w:ascii="Arial" w:hAnsi="Arial" w:cs="Arial"/>
          <w:szCs w:val="20"/>
        </w:rPr>
        <w:t xml:space="preserve"> reviews, environmental scanning and stakeholder interviews informed program design. Potential evidence-practice gaps were mapped to relevant CWA recommendations.</w:t>
      </w:r>
    </w:p>
    <w:p w:rsidR="00D17A52" w:rsidRPr="00D17A52" w:rsidRDefault="00D17A52" w:rsidP="00D17A52">
      <w:pPr>
        <w:pStyle w:val="BodyText"/>
        <w:spacing w:before="0" w:after="160"/>
        <w:rPr>
          <w:rFonts w:ascii="Arial" w:hAnsi="Arial" w:cs="Arial"/>
          <w:szCs w:val="20"/>
          <w:lang w:eastAsia="en-US"/>
        </w:rPr>
      </w:pPr>
      <w:r w:rsidRPr="00D17A52">
        <w:rPr>
          <w:rFonts w:ascii="Arial" w:hAnsi="Arial" w:cs="Arial"/>
          <w:szCs w:val="20"/>
        </w:rPr>
        <w:t xml:space="preserve">Messaging was developed and tested with </w:t>
      </w:r>
      <w:r w:rsidRPr="00D17A52">
        <w:rPr>
          <w:rFonts w:ascii="Arial" w:hAnsi="Arial" w:cs="Arial"/>
          <w:szCs w:val="20"/>
          <w:lang w:eastAsia="en-US"/>
        </w:rPr>
        <w:t>expert health professional and consumer working groups.</w:t>
      </w:r>
      <w:r w:rsidRPr="00D17A52">
        <w:rPr>
          <w:rFonts w:ascii="Arial" w:hAnsi="Arial" w:cs="Arial"/>
          <w:szCs w:val="20"/>
        </w:rPr>
        <w:t xml:space="preserve"> Barriers and enablers for change were explored. Interventions included </w:t>
      </w:r>
      <w:r w:rsidRPr="00D17A52">
        <w:rPr>
          <w:rFonts w:ascii="Arial" w:hAnsi="Arial" w:cs="Arial"/>
          <w:color w:val="221E20"/>
          <w:szCs w:val="20"/>
        </w:rPr>
        <w:t>educational outreach visits, MBS/PBS feedback, clinical audits, case studies and resources.</w:t>
      </w:r>
    </w:p>
    <w:p w:rsidR="00E969FA" w:rsidRPr="00D17A52" w:rsidRDefault="00D17A52" w:rsidP="00D17A52">
      <w:pPr>
        <w:pStyle w:val="BodyText3"/>
        <w:spacing w:before="0" w:after="160" w:line="259" w:lineRule="auto"/>
        <w:rPr>
          <w:lang w:eastAsia="en-US"/>
        </w:rPr>
      </w:pPr>
      <w:r w:rsidRPr="00D17A52">
        <w:rPr>
          <w:lang w:eastAsia="en-US"/>
        </w:rPr>
        <w:t>Program evaluation is ongoing, incorporating participation data, surveys, interviews, and analyses of general practice and PBS/MBS data.</w:t>
      </w:r>
    </w:p>
    <w:p w:rsidR="00E969FA" w:rsidRPr="00D17A52" w:rsidRDefault="00E969FA" w:rsidP="00E969FA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b/>
          <w:sz w:val="20"/>
          <w:szCs w:val="20"/>
        </w:rPr>
        <w:t>Results</w:t>
      </w:r>
    </w:p>
    <w:p w:rsidR="00D17A52" w:rsidRPr="00D17A52" w:rsidRDefault="00D17A52" w:rsidP="00D17A52">
      <w:pPr>
        <w:pStyle w:val="BodyText"/>
        <w:spacing w:before="0" w:after="160"/>
        <w:rPr>
          <w:rFonts w:ascii="Arial" w:hAnsi="Arial" w:cs="Arial"/>
          <w:szCs w:val="20"/>
        </w:rPr>
      </w:pPr>
      <w:r w:rsidRPr="00D17A52">
        <w:rPr>
          <w:rFonts w:ascii="Arial" w:hAnsi="Arial" w:cs="Arial"/>
          <w:szCs w:val="20"/>
          <w:lang w:eastAsia="en-US"/>
        </w:rPr>
        <w:t xml:space="preserve">CWA recommendations embedded in NPSMW programs from 2016 included: </w:t>
      </w:r>
      <w:r w:rsidRPr="00D17A52">
        <w:rPr>
          <w:rFonts w:ascii="Arial" w:hAnsi="Arial" w:cs="Arial"/>
          <w:szCs w:val="20"/>
        </w:rPr>
        <w:t xml:space="preserve">using Ottawa ankle rules (OAR) to discount fracture in acute ankle injury patients (Ankle and knee [AKI] program); avoiding statin therapy without first assessing absolute cardiovascular event risk (Statins program); </w:t>
      </w:r>
      <w:r w:rsidRPr="00D17A52">
        <w:rPr>
          <w:rFonts w:ascii="Arial" w:hAnsi="Arial" w:cs="Arial"/>
          <w:color w:val="000000"/>
          <w:szCs w:val="20"/>
          <w:lang w:val="en-US"/>
        </w:rPr>
        <w:t>avoiding gabapentinoids for conditions not fulfilling neuropathic pain criteria</w:t>
      </w:r>
      <w:r w:rsidRPr="00D17A52">
        <w:rPr>
          <w:rFonts w:ascii="Arial" w:hAnsi="Arial" w:cs="Arial"/>
          <w:szCs w:val="20"/>
        </w:rPr>
        <w:t xml:space="preserve"> (Neuropathic pain program); and avoiding long term proton pump inhibitors in patients with uncomplicated disease without reducing dose or ceasing (Starting, stepping down and stopping medicines program). </w:t>
      </w:r>
    </w:p>
    <w:p w:rsidR="00E969FA" w:rsidRPr="00D17A52" w:rsidRDefault="00D17A52" w:rsidP="00D17A52">
      <w:pPr>
        <w:pStyle w:val="BodyText"/>
        <w:spacing w:before="0" w:after="160"/>
        <w:rPr>
          <w:rFonts w:ascii="Arial" w:hAnsi="Arial" w:cs="Arial"/>
          <w:szCs w:val="20"/>
        </w:rPr>
      </w:pPr>
      <w:r w:rsidRPr="00D17A52">
        <w:rPr>
          <w:rFonts w:ascii="Arial" w:hAnsi="Arial" w:cs="Arial"/>
          <w:szCs w:val="20"/>
        </w:rPr>
        <w:t xml:space="preserve">Qualitative evaluation to date showed </w:t>
      </w:r>
      <w:bookmarkStart w:id="1" w:name="_Hlk506815947"/>
      <w:r w:rsidRPr="00D17A52">
        <w:rPr>
          <w:rFonts w:ascii="Arial" w:hAnsi="Arial" w:cs="Arial"/>
          <w:szCs w:val="20"/>
        </w:rPr>
        <w:t>GP AKI program</w:t>
      </w:r>
      <w:r w:rsidRPr="00D17A52" w:rsidDel="0016332A">
        <w:rPr>
          <w:rFonts w:ascii="Arial" w:hAnsi="Arial" w:cs="Arial"/>
          <w:szCs w:val="20"/>
        </w:rPr>
        <w:t xml:space="preserve"> </w:t>
      </w:r>
      <w:r w:rsidRPr="00D17A52">
        <w:rPr>
          <w:rFonts w:ascii="Arial" w:hAnsi="Arial" w:cs="Arial"/>
          <w:szCs w:val="20"/>
        </w:rPr>
        <w:t>participants reported being more aware (+51%), having increased application (+26%) of the OAR and decreased imaging referrals for ankle injuries (</w:t>
      </w:r>
      <w:r w:rsidRPr="00D17A52">
        <w:rPr>
          <w:rFonts w:ascii="Arial" w:hAnsi="Arial" w:cs="Arial"/>
          <w:szCs w:val="20"/>
        </w:rPr>
        <w:noBreakHyphen/>
        <w:t xml:space="preserve">59%). </w:t>
      </w:r>
      <w:bookmarkEnd w:id="1"/>
    </w:p>
    <w:p w:rsidR="00E969FA" w:rsidRPr="00D17A52" w:rsidRDefault="00E969FA" w:rsidP="00E969FA">
      <w:pPr>
        <w:spacing w:after="0"/>
        <w:rPr>
          <w:rFonts w:ascii="Arial" w:hAnsi="Arial" w:cs="Arial"/>
          <w:b/>
          <w:sz w:val="20"/>
          <w:szCs w:val="20"/>
        </w:rPr>
      </w:pPr>
      <w:r w:rsidRPr="00D17A52">
        <w:rPr>
          <w:rFonts w:ascii="Arial" w:hAnsi="Arial" w:cs="Arial"/>
          <w:b/>
          <w:sz w:val="20"/>
          <w:szCs w:val="20"/>
        </w:rPr>
        <w:t>Conclusion</w:t>
      </w:r>
    </w:p>
    <w:p w:rsidR="00E969FA" w:rsidRPr="00D17A52" w:rsidRDefault="00D17A52" w:rsidP="00D17A52">
      <w:pPr>
        <w:pStyle w:val="BodyText"/>
        <w:spacing w:before="0" w:after="160"/>
        <w:rPr>
          <w:rFonts w:ascii="Arial" w:hAnsi="Arial" w:cs="Arial"/>
          <w:szCs w:val="20"/>
        </w:rPr>
      </w:pPr>
      <w:r w:rsidRPr="00D17A52">
        <w:rPr>
          <w:rFonts w:ascii="Arial" w:hAnsi="Arial" w:cs="Arial"/>
          <w:szCs w:val="20"/>
        </w:rPr>
        <w:t>GPs reported increased awareness and application of a CWA recommendation following participation in the AKI program. NPSMW programs may be effective for implementing CWA recommendations in general practice.</w:t>
      </w:r>
    </w:p>
    <w:p w:rsidR="007A3219" w:rsidRPr="00F12827" w:rsidRDefault="007A3219" w:rsidP="00A364F0">
      <w:pPr>
        <w:spacing w:after="0"/>
        <w:rPr>
          <w:rFonts w:cs="Arial"/>
        </w:rPr>
      </w:pPr>
    </w:p>
    <w:sectPr w:rsidR="007A3219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6150A8"/>
    <w:rsid w:val="00634A5F"/>
    <w:rsid w:val="00687FF6"/>
    <w:rsid w:val="006D10C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CE681C"/>
    <w:rsid w:val="00D17A52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32BFF5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17A52"/>
    <w:pPr>
      <w:spacing w:before="180" w:after="0"/>
    </w:pPr>
    <w:rPr>
      <w:rFonts w:eastAsia="Times New Roman" w:cs="Times New Roman"/>
      <w:sz w:val="20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D17A52"/>
    <w:rPr>
      <w:rFonts w:eastAsia="Times New Roman" w:cs="Times New Roman"/>
      <w:sz w:val="20"/>
      <w:szCs w:val="24"/>
      <w:lang w:eastAsia="en-AU"/>
    </w:rPr>
  </w:style>
  <w:style w:type="paragraph" w:customStyle="1" w:styleId="BodyText3">
    <w:name w:val="Body Text3"/>
    <w:basedOn w:val="Normal"/>
    <w:uiPriority w:val="1"/>
    <w:qFormat/>
    <w:rsid w:val="00D17A52"/>
    <w:pPr>
      <w:spacing w:before="120" w:after="120" w:line="260" w:lineRule="exact"/>
    </w:pPr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ps.org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Clare Delaney</cp:lastModifiedBy>
  <cp:revision>2</cp:revision>
  <dcterms:created xsi:type="dcterms:W3CDTF">2018-03-04T06:04:00Z</dcterms:created>
  <dcterms:modified xsi:type="dcterms:W3CDTF">2018-03-04T06:04:00Z</dcterms:modified>
</cp:coreProperties>
</file>