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33FB" w14:textId="32873ED5" w:rsidR="00A03F82" w:rsidRDefault="003D7A55" w:rsidP="003D7A55">
      <w:pPr>
        <w:pStyle w:val="Heading1"/>
        <w:spacing w:before="71"/>
        <w:ind w:left="0"/>
        <w:rPr>
          <w:b w:val="0"/>
          <w:sz w:val="19"/>
        </w:rPr>
      </w:pPr>
      <w:r>
        <w:rPr>
          <w:spacing w:val="-2"/>
        </w:rPr>
        <w:t>Presentation</w:t>
      </w:r>
      <w:r>
        <w:rPr>
          <w:spacing w:val="5"/>
        </w:rPr>
        <w:t xml:space="preserve"> </w:t>
      </w:r>
      <w:r>
        <w:rPr>
          <w:spacing w:val="-4"/>
        </w:rPr>
        <w:t>title</w:t>
      </w:r>
    </w:p>
    <w:p w14:paraId="234733FD" w14:textId="35F039BE" w:rsidR="00A03F82" w:rsidRPr="003D7A55" w:rsidRDefault="003D7A55" w:rsidP="003D7A55">
      <w:pPr>
        <w:pStyle w:val="BodyText"/>
        <w:spacing w:before="1"/>
      </w:pPr>
      <w:r>
        <w:t>D</w:t>
      </w:r>
      <w:r>
        <w:t>o</w:t>
      </w:r>
      <w:r>
        <w:rPr>
          <w:spacing w:val="-10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infections?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systematic</w:t>
      </w:r>
      <w:r>
        <w:rPr>
          <w:spacing w:val="-8"/>
        </w:rPr>
        <w:t xml:space="preserve"> </w:t>
      </w:r>
      <w:r>
        <w:rPr>
          <w:spacing w:val="-2"/>
        </w:rPr>
        <w:t>review</w:t>
      </w:r>
    </w:p>
    <w:p w14:paraId="234733FE" w14:textId="77777777" w:rsidR="00A03F82" w:rsidRDefault="00A03F82" w:rsidP="003D7A55">
      <w:pPr>
        <w:pStyle w:val="BodyText"/>
        <w:spacing w:before="1"/>
        <w:rPr>
          <w:sz w:val="18"/>
        </w:rPr>
      </w:pPr>
    </w:p>
    <w:p w14:paraId="23473400" w14:textId="7AEDDCA4" w:rsidR="00A03F82" w:rsidRDefault="003D7A55" w:rsidP="003D7A55">
      <w:pPr>
        <w:pStyle w:val="Heading1"/>
        <w:ind w:left="0"/>
        <w:rPr>
          <w:b w:val="0"/>
          <w:sz w:val="19"/>
        </w:rPr>
      </w:pPr>
      <w:r>
        <w:t>Explain</w:t>
      </w:r>
      <w:r>
        <w:rPr>
          <w:spacing w:val="-7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relevant,</w:t>
      </w:r>
      <w:r>
        <w:rPr>
          <w:spacing w:val="-6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GP22</w:t>
      </w:r>
      <w:r>
        <w:rPr>
          <w:spacing w:val="-7"/>
        </w:rPr>
        <w:t xml:space="preserve"> </w:t>
      </w:r>
      <w:r>
        <w:rPr>
          <w:spacing w:val="-2"/>
        </w:rPr>
        <w:t>participants</w:t>
      </w:r>
    </w:p>
    <w:p w14:paraId="23473401" w14:textId="77777777" w:rsidR="00A03F82" w:rsidRDefault="003D7A55" w:rsidP="003D7A55">
      <w:pPr>
        <w:pStyle w:val="BodyText"/>
        <w:ind w:right="50"/>
      </w:pPr>
      <w:r>
        <w:t>M</w:t>
      </w:r>
      <w:r>
        <w:t>any common acute infections are traditionally treated with antibiotics. Information about the natural history (NH) of self-limiting infections underpins antibiotic stewardship strategies such as delayed prescribing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(SDM),</w:t>
      </w:r>
      <w:r>
        <w:rPr>
          <w:spacing w:val="-4"/>
        </w:rPr>
        <w:t xml:space="preserve"> </w:t>
      </w:r>
      <w:r>
        <w:t>yet</w:t>
      </w:r>
      <w:r>
        <w:rPr>
          <w:spacing w:val="-4"/>
        </w:rPr>
        <w:t xml:space="preserve"> </w:t>
      </w:r>
      <w:r>
        <w:t>wh</w:t>
      </w:r>
      <w:r>
        <w:t>ether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 xml:space="preserve">to clinicians is unknown. This is the first systematic review evaluating the reporting of NH information in clinical </w:t>
      </w:r>
      <w:r>
        <w:rPr>
          <w:spacing w:val="-2"/>
        </w:rPr>
        <w:t>guidelines.</w:t>
      </w:r>
    </w:p>
    <w:p w14:paraId="23473402" w14:textId="77777777" w:rsidR="00A03F82" w:rsidRDefault="00A03F82" w:rsidP="003D7A55">
      <w:pPr>
        <w:pStyle w:val="BodyText"/>
      </w:pPr>
    </w:p>
    <w:p w14:paraId="23473404" w14:textId="5A724FEA" w:rsidR="00A03F82" w:rsidRDefault="003D7A55" w:rsidP="003D7A55">
      <w:pPr>
        <w:pStyle w:val="Heading1"/>
        <w:ind w:left="0"/>
        <w:rPr>
          <w:b w:val="0"/>
        </w:rPr>
      </w:pPr>
      <w:r>
        <w:t>Take</w:t>
      </w:r>
      <w:r>
        <w:rPr>
          <w:spacing w:val="-8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rPr>
          <w:spacing w:val="-2"/>
        </w:rPr>
        <w:t>message</w:t>
      </w:r>
    </w:p>
    <w:p w14:paraId="23473405" w14:textId="75081076" w:rsidR="00A03F82" w:rsidRDefault="003D7A55" w:rsidP="003D7A55">
      <w:pPr>
        <w:pStyle w:val="BodyText"/>
        <w:numPr>
          <w:ilvl w:val="0"/>
          <w:numId w:val="4"/>
        </w:numPr>
        <w:ind w:right="98"/>
        <w:jc w:val="both"/>
      </w:pPr>
      <w:r>
        <w:t>T</w:t>
      </w:r>
      <w:r>
        <w:t>he omission of NH information in guidelines for self-limiting acute infections is a missed opportunity t</w:t>
      </w:r>
      <w:r>
        <w:t>o disseminate this information to general practitioners who could use it to help manage patient expectations about antibiotic need and facilitate informed decision-making.</w:t>
      </w:r>
    </w:p>
    <w:p w14:paraId="23473406" w14:textId="77777777" w:rsidR="00A03F82" w:rsidRDefault="00A03F82" w:rsidP="003D7A55">
      <w:pPr>
        <w:pStyle w:val="BodyText"/>
        <w:rPr>
          <w:sz w:val="22"/>
        </w:rPr>
      </w:pPr>
    </w:p>
    <w:p w14:paraId="23473407" w14:textId="77777777" w:rsidR="00A03F82" w:rsidRDefault="00A03F82" w:rsidP="003D7A55">
      <w:pPr>
        <w:pStyle w:val="BodyText"/>
        <w:rPr>
          <w:sz w:val="18"/>
        </w:rPr>
      </w:pPr>
    </w:p>
    <w:p w14:paraId="23473409" w14:textId="3A0E074C" w:rsidR="00A03F82" w:rsidRDefault="003D7A55" w:rsidP="003D7A55">
      <w:pPr>
        <w:pStyle w:val="Heading1"/>
        <w:ind w:left="0"/>
        <w:rPr>
          <w:b w:val="0"/>
        </w:rPr>
      </w:pPr>
      <w:r>
        <w:rPr>
          <w:spacing w:val="-2"/>
        </w:rPr>
        <w:t>Background</w:t>
      </w:r>
    </w:p>
    <w:p w14:paraId="2347340A" w14:textId="77777777" w:rsidR="00A03F82" w:rsidRDefault="003D7A55" w:rsidP="003D7A55">
      <w:pPr>
        <w:pStyle w:val="BodyText"/>
      </w:pPr>
      <w:r>
        <w:t>K</w:t>
      </w:r>
      <w:r>
        <w:t>nowledge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acute</w:t>
      </w:r>
      <w:r>
        <w:rPr>
          <w:spacing w:val="-4"/>
        </w:rPr>
        <w:t xml:space="preserve"> </w:t>
      </w:r>
      <w:r>
        <w:t>infections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conversations</w:t>
      </w:r>
      <w:r>
        <w:rPr>
          <w:spacing w:val="-3"/>
        </w:rPr>
        <w:t xml:space="preserve"> </w:t>
      </w:r>
      <w:r>
        <w:t>between clinicians and patients about options for managing the infection.</w:t>
      </w:r>
    </w:p>
    <w:p w14:paraId="2347340B" w14:textId="77777777" w:rsidR="00A03F82" w:rsidRDefault="00A03F82" w:rsidP="003D7A55">
      <w:pPr>
        <w:pStyle w:val="BodyText"/>
        <w:spacing w:before="10"/>
        <w:rPr>
          <w:sz w:val="19"/>
        </w:rPr>
      </w:pPr>
    </w:p>
    <w:p w14:paraId="2347340D" w14:textId="1DC17928" w:rsidR="00A03F82" w:rsidRDefault="003D7A55" w:rsidP="003D7A55">
      <w:pPr>
        <w:pStyle w:val="Heading1"/>
        <w:ind w:left="0"/>
        <w:rPr>
          <w:b w:val="0"/>
        </w:rPr>
      </w:pPr>
      <w:r>
        <w:t>Aim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Hypothesis</w:t>
      </w:r>
    </w:p>
    <w:p w14:paraId="2347340E" w14:textId="77777777" w:rsidR="00A03F82" w:rsidRDefault="003D7A55" w:rsidP="003D7A55">
      <w:pPr>
        <w:pStyle w:val="BodyText"/>
      </w:pPr>
      <w:r>
        <w:t>T</w:t>
      </w:r>
      <w:r>
        <w:t>o examine, in clinical guidelines, the reporting of NH information, and relevant antibiotic stewardship strategies, for acute infections commonly se</w:t>
      </w:r>
      <w:r>
        <w:t>en in primary care and treated with antibiotics.</w:t>
      </w:r>
    </w:p>
    <w:p w14:paraId="2347340F" w14:textId="77777777" w:rsidR="00A03F82" w:rsidRDefault="00A03F82" w:rsidP="003D7A55">
      <w:pPr>
        <w:pStyle w:val="BodyText"/>
        <w:spacing w:before="10"/>
        <w:rPr>
          <w:sz w:val="19"/>
        </w:rPr>
      </w:pPr>
    </w:p>
    <w:p w14:paraId="23473411" w14:textId="6B525968" w:rsidR="00A03F82" w:rsidRDefault="003D7A55" w:rsidP="003D7A55">
      <w:pPr>
        <w:pStyle w:val="Heading1"/>
        <w:ind w:left="0"/>
        <w:rPr>
          <w:b w:val="0"/>
        </w:rPr>
      </w:pPr>
      <w:r>
        <w:rPr>
          <w:spacing w:val="-2"/>
        </w:rPr>
        <w:t>Method</w:t>
      </w:r>
    </w:p>
    <w:p w14:paraId="23473412" w14:textId="77777777" w:rsidR="00A03F82" w:rsidRDefault="003D7A55" w:rsidP="003D7A55">
      <w:pPr>
        <w:pStyle w:val="BodyText"/>
      </w:pPr>
      <w:r>
        <w:t>A</w:t>
      </w:r>
      <w:r>
        <w:t xml:space="preserve"> systematic review of national and international guidelines (2010 onwards), for managing common infections (respiratory, urinary, skin and soft tissue).</w:t>
      </w:r>
    </w:p>
    <w:p w14:paraId="23473413" w14:textId="77777777" w:rsidR="00A03F82" w:rsidRDefault="00A03F82" w:rsidP="003D7A55">
      <w:pPr>
        <w:pStyle w:val="BodyText"/>
        <w:spacing w:before="2"/>
      </w:pPr>
    </w:p>
    <w:p w14:paraId="23473415" w14:textId="7C027D50" w:rsidR="00A03F82" w:rsidRDefault="003D7A55" w:rsidP="003D7A55">
      <w:pPr>
        <w:pStyle w:val="Heading1"/>
        <w:ind w:left="0"/>
        <w:rPr>
          <w:b w:val="0"/>
          <w:sz w:val="19"/>
        </w:rPr>
      </w:pPr>
      <w:r>
        <w:rPr>
          <w:spacing w:val="-2"/>
        </w:rPr>
        <w:t>Results</w:t>
      </w:r>
    </w:p>
    <w:p w14:paraId="23473416" w14:textId="77777777" w:rsidR="00A03F82" w:rsidRDefault="003D7A55" w:rsidP="003D7A55">
      <w:pPr>
        <w:pStyle w:val="BodyText"/>
        <w:ind w:right="98"/>
        <w:jc w:val="both"/>
      </w:pPr>
      <w:r>
        <w:t>O</w:t>
      </w:r>
      <w:r>
        <w:t>f the 77 included guidelines, 59.7% contained NH information. Quantitative information abou</w:t>
      </w:r>
      <w:r>
        <w:t>t expected infection duration was provided for 63%, with variation in the duration across the guidelines. Strategies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delayed</w:t>
      </w:r>
      <w:r>
        <w:rPr>
          <w:spacing w:val="-7"/>
        </w:rPr>
        <w:t xml:space="preserve"> </w:t>
      </w:r>
      <w:r>
        <w:t>prescribing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SDM</w:t>
      </w:r>
      <w:r>
        <w:rPr>
          <w:spacing w:val="-9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recommendations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33%</w:t>
      </w:r>
      <w:r>
        <w:rPr>
          <w:spacing w:val="-6"/>
        </w:rPr>
        <w:t xml:space="preserve"> </w:t>
      </w:r>
      <w:r>
        <w:t>and 20% of the infections respectively.</w:t>
      </w:r>
    </w:p>
    <w:p w14:paraId="23473417" w14:textId="77777777" w:rsidR="00A03F82" w:rsidRDefault="00A03F82" w:rsidP="003D7A55">
      <w:pPr>
        <w:pStyle w:val="BodyText"/>
        <w:spacing w:before="11"/>
        <w:rPr>
          <w:sz w:val="19"/>
        </w:rPr>
      </w:pPr>
    </w:p>
    <w:p w14:paraId="23473419" w14:textId="1EF736B0" w:rsidR="00A03F82" w:rsidRDefault="003D7A55" w:rsidP="003D7A55">
      <w:pPr>
        <w:pStyle w:val="Heading1"/>
        <w:ind w:left="0"/>
        <w:rPr>
          <w:b w:val="0"/>
        </w:rPr>
      </w:pPr>
      <w:r>
        <w:rPr>
          <w:spacing w:val="-2"/>
        </w:rPr>
        <w:t>Discussion</w:t>
      </w:r>
    </w:p>
    <w:p w14:paraId="2347341A" w14:textId="77777777" w:rsidR="00A03F82" w:rsidRDefault="003D7A55" w:rsidP="003D7A55">
      <w:pPr>
        <w:pStyle w:val="BodyText"/>
        <w:ind w:right="100"/>
        <w:jc w:val="both"/>
      </w:pPr>
      <w:r>
        <w:t>T</w:t>
      </w:r>
      <w:r>
        <w:t>here is suboptimal reporting of NH information in guidelines. For some conditions (e.g., acute bronchitis, sinusitis, tonsilitis, conjunctivitis), NH information was provided in all relevant guidelines,</w:t>
      </w:r>
      <w:r>
        <w:t xml:space="preserve"> whereas for others (e.g., urinary tract and skin infections) it was rarely provided.</w:t>
      </w:r>
    </w:p>
    <w:p w14:paraId="2347341B" w14:textId="77777777" w:rsidR="00A03F82" w:rsidRDefault="00A03F82" w:rsidP="003D7A55">
      <w:pPr>
        <w:pStyle w:val="BodyText"/>
        <w:spacing w:before="11"/>
        <w:rPr>
          <w:sz w:val="19"/>
        </w:rPr>
      </w:pPr>
    </w:p>
    <w:p w14:paraId="2347341D" w14:textId="70E8D2E4" w:rsidR="00A03F82" w:rsidRDefault="003D7A55" w:rsidP="003D7A55">
      <w:pPr>
        <w:pStyle w:val="Heading1"/>
        <w:ind w:left="0"/>
        <w:rPr>
          <w:b w:val="0"/>
        </w:rPr>
      </w:pPr>
      <w:r>
        <w:rPr>
          <w:spacing w:val="-2"/>
        </w:rPr>
        <w:t>Conclusion</w:t>
      </w:r>
    </w:p>
    <w:p w14:paraId="2347341E" w14:textId="77777777" w:rsidR="00A03F82" w:rsidRDefault="003D7A55" w:rsidP="003D7A55">
      <w:pPr>
        <w:pStyle w:val="BodyText"/>
      </w:pPr>
      <w:r>
        <w:t>A</w:t>
      </w:r>
      <w:r>
        <w:t>s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infections</w:t>
      </w:r>
      <w:r>
        <w:rPr>
          <w:spacing w:val="-1"/>
        </w:rPr>
        <w:t xml:space="preserve"> </w:t>
      </w:r>
      <w:r>
        <w:t>spontaneously</w:t>
      </w:r>
      <w:r>
        <w:rPr>
          <w:spacing w:val="-3"/>
        </w:rPr>
        <w:t xml:space="preserve"> </w:t>
      </w:r>
      <w:r>
        <w:t>improve,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disseminate NH information, facilitate conversations with patients, and im</w:t>
      </w:r>
      <w:r>
        <w:t>prove antibiotic stewardship.</w:t>
      </w:r>
    </w:p>
    <w:sectPr w:rsidR="00A03F82">
      <w:type w:val="continuous"/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F73F4"/>
    <w:multiLevelType w:val="hybridMultilevel"/>
    <w:tmpl w:val="5B624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B4870"/>
    <w:multiLevelType w:val="hybridMultilevel"/>
    <w:tmpl w:val="4B964DB0"/>
    <w:lvl w:ilvl="0" w:tplc="0C0EBFBE">
      <w:numFmt w:val="bullet"/>
      <w:lvlText w:val="-"/>
      <w:lvlJc w:val="left"/>
      <w:pPr>
        <w:ind w:left="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6D91E3A"/>
    <w:multiLevelType w:val="hybridMultilevel"/>
    <w:tmpl w:val="9364CFB0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3266FE6"/>
    <w:multiLevelType w:val="hybridMultilevel"/>
    <w:tmpl w:val="1A52FA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F82"/>
    <w:rsid w:val="003D7A55"/>
    <w:rsid w:val="00A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33FA"/>
  <w15:docId w15:val="{7FE38087-CFED-4B2B-9EE0-8F2EDA55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Grigg</dc:creator>
  <cp:lastModifiedBy>Melissa Avard</cp:lastModifiedBy>
  <cp:revision>2</cp:revision>
  <dcterms:created xsi:type="dcterms:W3CDTF">2022-05-09T05:49:00Z</dcterms:created>
  <dcterms:modified xsi:type="dcterms:W3CDTF">2022-05-09T05:50:00Z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