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63EF0" w14:textId="77777777"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  <w:r w:rsidR="00AA6B6A">
        <w:rPr>
          <w:rFonts w:ascii="Arial" w:hAnsi="Arial" w:cs="Arial"/>
          <w:b/>
        </w:rPr>
        <w:t xml:space="preserve"> </w:t>
      </w:r>
    </w:p>
    <w:p w14:paraId="1FD94D10" w14:textId="4DF17A6F" w:rsidR="00AA6B6A" w:rsidRPr="00AF0CDD" w:rsidRDefault="00696E3E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F0CDD">
        <w:rPr>
          <w:rFonts w:ascii="Arial" w:hAnsi="Arial" w:cs="Arial"/>
        </w:rPr>
        <w:t xml:space="preserve">ntravenous </w:t>
      </w:r>
      <w:r w:rsidR="00AA6B6A" w:rsidRPr="00AF0CDD">
        <w:rPr>
          <w:rFonts w:ascii="Arial" w:hAnsi="Arial" w:cs="Arial"/>
        </w:rPr>
        <w:t xml:space="preserve">ferric </w:t>
      </w:r>
      <w:proofErr w:type="spellStart"/>
      <w:r w:rsidR="00AA6B6A" w:rsidRPr="00AF0CDD">
        <w:rPr>
          <w:rFonts w:ascii="Arial" w:hAnsi="Arial" w:cs="Arial"/>
        </w:rPr>
        <w:t>carboxymaltose</w:t>
      </w:r>
      <w:proofErr w:type="spellEnd"/>
      <w:r w:rsidR="00AA6B6A" w:rsidRPr="00AF0CDD">
        <w:rPr>
          <w:rFonts w:ascii="Arial" w:hAnsi="Arial" w:cs="Arial"/>
        </w:rPr>
        <w:t xml:space="preserve"> </w:t>
      </w:r>
      <w:r w:rsidR="00991FB6" w:rsidRPr="00AF0CDD">
        <w:rPr>
          <w:rFonts w:ascii="Arial" w:hAnsi="Arial" w:cs="Arial"/>
        </w:rPr>
        <w:t xml:space="preserve">in general practice: </w:t>
      </w:r>
      <w:r w:rsidR="00683704">
        <w:rPr>
          <w:rFonts w:ascii="Arial" w:hAnsi="Arial" w:cs="Arial"/>
        </w:rPr>
        <w:t>what we know and don’t know</w:t>
      </w:r>
    </w:p>
    <w:p w14:paraId="6E6E2A6A" w14:textId="77777777" w:rsidR="005C4F93" w:rsidRDefault="005C4F93" w:rsidP="00E969FA">
      <w:pPr>
        <w:spacing w:after="0"/>
        <w:rPr>
          <w:rFonts w:ascii="Arial" w:hAnsi="Arial" w:cs="Arial"/>
        </w:rPr>
      </w:pPr>
    </w:p>
    <w:p w14:paraId="135E08EA" w14:textId="77777777"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1988BBC6" w14:textId="61872A40" w:rsidR="005C4F93" w:rsidRPr="006962ED" w:rsidRDefault="00991FB6" w:rsidP="00E969FA">
      <w:pPr>
        <w:spacing w:after="0"/>
        <w:rPr>
          <w:rFonts w:ascii="Arial" w:hAnsi="Arial" w:cs="Arial"/>
        </w:rPr>
      </w:pPr>
      <w:r w:rsidRPr="006920DF">
        <w:rPr>
          <w:rFonts w:ascii="Arial" w:hAnsi="Arial" w:cs="Arial"/>
          <w:b/>
        </w:rPr>
        <w:t>Joy Gailer</w:t>
      </w:r>
      <w:r w:rsidRPr="00991FB6">
        <w:rPr>
          <w:rFonts w:ascii="Arial" w:hAnsi="Arial" w:cs="Arial"/>
          <w:vertAlign w:val="superscript"/>
        </w:rPr>
        <w:t>1, 2</w:t>
      </w:r>
      <w:r>
        <w:rPr>
          <w:rFonts w:ascii="Arial" w:hAnsi="Arial" w:cs="Arial"/>
        </w:rPr>
        <w:t xml:space="preserve">, </w:t>
      </w:r>
      <w:r w:rsidRPr="006920DF">
        <w:rPr>
          <w:rFonts w:ascii="Arial" w:hAnsi="Arial" w:cs="Arial"/>
          <w:b/>
        </w:rPr>
        <w:t>Dr Daniel Byrne</w:t>
      </w:r>
      <w:r>
        <w:rPr>
          <w:rFonts w:ascii="Arial" w:hAnsi="Arial" w:cs="Arial"/>
          <w:vertAlign w:val="superscript"/>
        </w:rPr>
        <w:t>3</w:t>
      </w:r>
      <w:r w:rsidR="00696E3E">
        <w:rPr>
          <w:rFonts w:ascii="Arial" w:hAnsi="Arial" w:cs="Arial"/>
        </w:rPr>
        <w:t xml:space="preserve">, </w:t>
      </w:r>
      <w:r w:rsidR="00223EFA">
        <w:rPr>
          <w:rFonts w:ascii="Arial" w:hAnsi="Arial" w:cs="Arial"/>
        </w:rPr>
        <w:t xml:space="preserve">Dr </w:t>
      </w:r>
      <w:r w:rsidR="00696E3E">
        <w:rPr>
          <w:rFonts w:ascii="Arial" w:hAnsi="Arial" w:cs="Arial"/>
        </w:rPr>
        <w:t>Natasha Alexandrides</w:t>
      </w:r>
      <w:r w:rsidR="00696E3E" w:rsidRPr="00696E3E">
        <w:rPr>
          <w:rFonts w:ascii="Arial" w:hAnsi="Arial" w:cs="Arial"/>
          <w:vertAlign w:val="superscript"/>
        </w:rPr>
        <w:t>3</w:t>
      </w:r>
      <w:r w:rsidR="006962ED">
        <w:rPr>
          <w:rFonts w:ascii="Arial" w:hAnsi="Arial" w:cs="Arial"/>
        </w:rPr>
        <w:t xml:space="preserve">, </w:t>
      </w:r>
      <w:proofErr w:type="spellStart"/>
      <w:r w:rsidR="006962ED">
        <w:rPr>
          <w:rFonts w:ascii="Arial" w:hAnsi="Arial" w:cs="Arial"/>
        </w:rPr>
        <w:t>Duc</w:t>
      </w:r>
      <w:proofErr w:type="spellEnd"/>
      <w:r w:rsidR="006962ED">
        <w:rPr>
          <w:rFonts w:ascii="Arial" w:hAnsi="Arial" w:cs="Arial"/>
        </w:rPr>
        <w:t xml:space="preserve"> Nguyen</w:t>
      </w:r>
      <w:r w:rsidR="006962ED" w:rsidRPr="006962ED">
        <w:rPr>
          <w:rFonts w:ascii="Arial" w:hAnsi="Arial" w:cs="Arial"/>
          <w:vertAlign w:val="superscript"/>
        </w:rPr>
        <w:t>4</w:t>
      </w:r>
    </w:p>
    <w:p w14:paraId="2D984856" w14:textId="77777777" w:rsidR="005C4F93" w:rsidRDefault="00991FB6" w:rsidP="00991FB6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Senior Clinical Pharmacist, Drug and Therapeutics Information Service, Southern Adelaide Local Health Network</w:t>
      </w:r>
    </w:p>
    <w:p w14:paraId="461BE7EE" w14:textId="77777777" w:rsidR="00991FB6" w:rsidRDefault="00991FB6" w:rsidP="00991FB6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General Practice Pharmacist, Chandlers Hill Surgery, South Australia</w:t>
      </w:r>
    </w:p>
    <w:p w14:paraId="379D6363" w14:textId="5C737A84" w:rsidR="00991FB6" w:rsidRDefault="00991FB6" w:rsidP="00991FB6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General Practitioner, Chandlers Hill Surgery</w:t>
      </w:r>
      <w:r w:rsidR="00284811">
        <w:rPr>
          <w:rFonts w:ascii="Arial" w:hAnsi="Arial" w:cs="Arial"/>
        </w:rPr>
        <w:t>, South Australia</w:t>
      </w:r>
    </w:p>
    <w:p w14:paraId="196CD6E8" w14:textId="34795E5E" w:rsidR="006962ED" w:rsidRPr="00991FB6" w:rsidRDefault="006962ED" w:rsidP="00991FB6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Pharmacist and Medical Student</w:t>
      </w:r>
    </w:p>
    <w:p w14:paraId="2BFAA335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495404B7" w14:textId="77777777" w:rsidR="00E969FA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3745BFDD" w14:textId="428AD272" w:rsidR="00E969FA" w:rsidRPr="003F534D" w:rsidRDefault="00991FB6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use of intravenous ferric </w:t>
      </w:r>
      <w:proofErr w:type="spellStart"/>
      <w:r>
        <w:rPr>
          <w:rFonts w:ascii="Arial" w:hAnsi="Arial" w:cs="Arial"/>
        </w:rPr>
        <w:t>carboxymaltose</w:t>
      </w:r>
      <w:proofErr w:type="spellEnd"/>
      <w:r>
        <w:rPr>
          <w:rFonts w:ascii="Arial" w:hAnsi="Arial" w:cs="Arial"/>
        </w:rPr>
        <w:t xml:space="preserve"> (</w:t>
      </w:r>
      <w:r w:rsidR="00AF0CDD">
        <w:rPr>
          <w:rFonts w:ascii="Arial" w:hAnsi="Arial" w:cs="Arial"/>
        </w:rPr>
        <w:t xml:space="preserve">IV </w:t>
      </w:r>
      <w:r>
        <w:rPr>
          <w:rFonts w:ascii="Arial" w:hAnsi="Arial" w:cs="Arial"/>
        </w:rPr>
        <w:t xml:space="preserve">FCM) </w:t>
      </w:r>
      <w:r w:rsidR="008B3D0B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iron deficiency (ID) and anaemia </w:t>
      </w:r>
      <w:r w:rsidR="00284811">
        <w:rPr>
          <w:rFonts w:ascii="Arial" w:hAnsi="Arial" w:cs="Arial"/>
        </w:rPr>
        <w:t>is growing in</w:t>
      </w:r>
      <w:r>
        <w:rPr>
          <w:rFonts w:ascii="Arial" w:hAnsi="Arial" w:cs="Arial"/>
        </w:rPr>
        <w:t xml:space="preserve"> general practice. There are quality and safety factors </w:t>
      </w:r>
      <w:r w:rsidR="000F6A8F">
        <w:rPr>
          <w:rFonts w:ascii="Arial" w:hAnsi="Arial" w:cs="Arial"/>
        </w:rPr>
        <w:t>to</w:t>
      </w:r>
      <w:r w:rsidR="008B3D0B">
        <w:rPr>
          <w:rFonts w:ascii="Arial" w:hAnsi="Arial" w:cs="Arial"/>
        </w:rPr>
        <w:t xml:space="preserve"> consider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to ensure</w:t>
      </w:r>
      <w:proofErr w:type="gramEnd"/>
      <w:r>
        <w:rPr>
          <w:rFonts w:ascii="Arial" w:hAnsi="Arial" w:cs="Arial"/>
        </w:rPr>
        <w:t xml:space="preserve"> </w:t>
      </w:r>
      <w:r w:rsidR="008B3D0B">
        <w:rPr>
          <w:rFonts w:ascii="Arial" w:hAnsi="Arial" w:cs="Arial"/>
        </w:rPr>
        <w:t xml:space="preserve">its use is </w:t>
      </w:r>
      <w:r>
        <w:rPr>
          <w:rFonts w:ascii="Arial" w:hAnsi="Arial" w:cs="Arial"/>
        </w:rPr>
        <w:t xml:space="preserve">appropriate and </w:t>
      </w:r>
      <w:r w:rsidR="00223EFA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the anticipated patient outcomes are achieved.</w:t>
      </w:r>
    </w:p>
    <w:p w14:paraId="09DE63E5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33AAFD2B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41BF1E35" w14:textId="6E9754DD" w:rsidR="00E969FA" w:rsidRPr="003F534D" w:rsidRDefault="004D3659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To present the results of a quality assurance clinical audit of IV FCM </w:t>
      </w:r>
      <w:r w:rsidR="00696E3E">
        <w:rPr>
          <w:rFonts w:ascii="Arial" w:hAnsi="Arial" w:cs="Arial"/>
        </w:rPr>
        <w:t xml:space="preserve">and education program </w:t>
      </w:r>
      <w:r>
        <w:rPr>
          <w:rFonts w:ascii="Arial" w:hAnsi="Arial" w:cs="Arial"/>
        </w:rPr>
        <w:t>in a general practice and highlight clinically relevant precautions and potential adverse effects and their management.</w:t>
      </w:r>
    </w:p>
    <w:p w14:paraId="5BF6AAF3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10901FF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719E65AE" w14:textId="62B8307C" w:rsidR="00E969FA" w:rsidRPr="003F534D" w:rsidRDefault="004D3659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Retrospective clinical audit of IV FCM cases between June 2014 – June 2017, followed by practice wide quality improvement activit</w:t>
      </w:r>
      <w:r w:rsidR="008B3D0B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, education and guideline implementation, </w:t>
      </w:r>
      <w:r w:rsidR="00EC0468">
        <w:rPr>
          <w:rFonts w:ascii="Arial" w:hAnsi="Arial" w:cs="Arial"/>
        </w:rPr>
        <w:t xml:space="preserve">with </w:t>
      </w:r>
      <w:r w:rsidR="000F6A8F">
        <w:rPr>
          <w:rFonts w:ascii="Arial" w:hAnsi="Arial" w:cs="Arial"/>
        </w:rPr>
        <w:t xml:space="preserve">a follow-up </w:t>
      </w:r>
      <w:r>
        <w:rPr>
          <w:rFonts w:ascii="Arial" w:hAnsi="Arial" w:cs="Arial"/>
        </w:rPr>
        <w:t xml:space="preserve">prospective </w:t>
      </w:r>
      <w:r w:rsidR="00696E3E">
        <w:rPr>
          <w:rFonts w:ascii="Arial" w:hAnsi="Arial" w:cs="Arial"/>
        </w:rPr>
        <w:t xml:space="preserve">clinical </w:t>
      </w:r>
      <w:r>
        <w:rPr>
          <w:rFonts w:ascii="Arial" w:hAnsi="Arial" w:cs="Arial"/>
        </w:rPr>
        <w:t>audit from March 2018.</w:t>
      </w:r>
    </w:p>
    <w:p w14:paraId="64AFC071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45768F2F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  <w:bookmarkStart w:id="0" w:name="_GoBack"/>
      <w:bookmarkEnd w:id="0"/>
    </w:p>
    <w:p w14:paraId="705FD9A2" w14:textId="7154BE3C" w:rsidR="00FC13E8" w:rsidRPr="003F534D" w:rsidRDefault="004D3659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retrospective audit </w:t>
      </w:r>
      <w:r w:rsidR="00904710">
        <w:rPr>
          <w:rFonts w:ascii="Arial" w:hAnsi="Arial" w:cs="Arial"/>
        </w:rPr>
        <w:t>included 116 cases of IV FCM</w:t>
      </w:r>
      <w:r w:rsidR="00696E3E">
        <w:rPr>
          <w:rFonts w:ascii="Arial" w:hAnsi="Arial" w:cs="Arial"/>
        </w:rPr>
        <w:t xml:space="preserve">. Whilst the </w:t>
      </w:r>
      <w:r>
        <w:rPr>
          <w:rFonts w:ascii="Arial" w:hAnsi="Arial" w:cs="Arial"/>
        </w:rPr>
        <w:t xml:space="preserve">majority </w:t>
      </w:r>
      <w:r w:rsidR="008B3D0B">
        <w:rPr>
          <w:rFonts w:ascii="Arial" w:hAnsi="Arial" w:cs="Arial"/>
        </w:rPr>
        <w:t>accorded</w:t>
      </w:r>
      <w:r>
        <w:rPr>
          <w:rFonts w:ascii="Arial" w:hAnsi="Arial" w:cs="Arial"/>
        </w:rPr>
        <w:t xml:space="preserve"> with </w:t>
      </w:r>
      <w:r w:rsidR="00284811">
        <w:rPr>
          <w:rFonts w:ascii="Arial" w:hAnsi="Arial" w:cs="Arial"/>
        </w:rPr>
        <w:t>approved guidelines</w:t>
      </w:r>
      <w:r w:rsidR="00223E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number of areas for impro</w:t>
      </w:r>
      <w:r w:rsidR="00FC13E8">
        <w:rPr>
          <w:rFonts w:ascii="Arial" w:hAnsi="Arial" w:cs="Arial"/>
        </w:rPr>
        <w:t>vement</w:t>
      </w:r>
      <w:r>
        <w:rPr>
          <w:rFonts w:ascii="Arial" w:hAnsi="Arial" w:cs="Arial"/>
        </w:rPr>
        <w:t xml:space="preserve"> were highlighted</w:t>
      </w:r>
      <w:r w:rsidR="00696E3E">
        <w:rPr>
          <w:rFonts w:ascii="Arial" w:hAnsi="Arial" w:cs="Arial"/>
        </w:rPr>
        <w:t>.</w:t>
      </w:r>
      <w:r w:rsidR="00223EFA">
        <w:rPr>
          <w:rFonts w:ascii="Arial" w:hAnsi="Arial" w:cs="Arial"/>
        </w:rPr>
        <w:t xml:space="preserve"> </w:t>
      </w:r>
      <w:r w:rsidR="00696E3E">
        <w:rPr>
          <w:rFonts w:ascii="Arial" w:hAnsi="Arial" w:cs="Arial"/>
        </w:rPr>
        <w:t>These</w:t>
      </w:r>
      <w:r>
        <w:rPr>
          <w:rFonts w:ascii="Arial" w:hAnsi="Arial" w:cs="Arial"/>
        </w:rPr>
        <w:t xml:space="preserve"> includ</w:t>
      </w:r>
      <w:r w:rsidR="00696E3E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</w:t>
      </w:r>
      <w:r w:rsidR="00FC13E8">
        <w:rPr>
          <w:rFonts w:ascii="Arial" w:hAnsi="Arial" w:cs="Arial"/>
        </w:rPr>
        <w:t>in</w:t>
      </w:r>
      <w:r>
        <w:rPr>
          <w:rFonts w:ascii="Arial" w:hAnsi="Arial" w:cs="Arial"/>
        </w:rPr>
        <w:t>consist</w:t>
      </w:r>
      <w:r w:rsidR="00FC13E8">
        <w:rPr>
          <w:rFonts w:ascii="Arial" w:hAnsi="Arial" w:cs="Arial"/>
        </w:rPr>
        <w:t>e</w:t>
      </w:r>
      <w:r>
        <w:rPr>
          <w:rFonts w:ascii="Arial" w:hAnsi="Arial" w:cs="Arial"/>
        </w:rPr>
        <w:t>nt recognition of potential precautions</w:t>
      </w:r>
      <w:r w:rsidR="00FC13E8">
        <w:rPr>
          <w:rFonts w:ascii="Arial" w:hAnsi="Arial" w:cs="Arial"/>
        </w:rPr>
        <w:t xml:space="preserve"> (e.g. severe asthma)</w:t>
      </w:r>
      <w:r>
        <w:rPr>
          <w:rFonts w:ascii="Arial" w:hAnsi="Arial" w:cs="Arial"/>
        </w:rPr>
        <w:t xml:space="preserve">, </w:t>
      </w:r>
      <w:r w:rsidR="00FC13E8">
        <w:rPr>
          <w:rFonts w:ascii="Arial" w:hAnsi="Arial" w:cs="Arial"/>
        </w:rPr>
        <w:t xml:space="preserve">inadequate </w:t>
      </w:r>
      <w:r>
        <w:rPr>
          <w:rFonts w:ascii="Arial" w:hAnsi="Arial" w:cs="Arial"/>
        </w:rPr>
        <w:t xml:space="preserve">documentation of </w:t>
      </w:r>
      <w:r w:rsidR="00AF0CDD">
        <w:rPr>
          <w:rFonts w:ascii="Arial" w:hAnsi="Arial" w:cs="Arial"/>
        </w:rPr>
        <w:t>ideal body weight</w:t>
      </w:r>
      <w:r w:rsidR="00223EFA">
        <w:rPr>
          <w:rFonts w:ascii="Arial" w:hAnsi="Arial" w:cs="Arial"/>
        </w:rPr>
        <w:t xml:space="preserve"> and</w:t>
      </w:r>
      <w:r w:rsidR="00AF0C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dose calculation</w:t>
      </w:r>
      <w:r w:rsidR="00223EFA">
        <w:rPr>
          <w:rFonts w:ascii="Arial" w:hAnsi="Arial" w:cs="Arial"/>
        </w:rPr>
        <w:t>,</w:t>
      </w:r>
      <w:r w:rsidR="006660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administration</w:t>
      </w:r>
      <w:r w:rsidR="00FC13E8">
        <w:rPr>
          <w:rFonts w:ascii="Arial" w:hAnsi="Arial" w:cs="Arial"/>
        </w:rPr>
        <w:t xml:space="preserve"> </w:t>
      </w:r>
      <w:r w:rsidR="00696E3E">
        <w:rPr>
          <w:rFonts w:ascii="Arial" w:hAnsi="Arial" w:cs="Arial"/>
        </w:rPr>
        <w:t xml:space="preserve">and monitoring </w:t>
      </w:r>
      <w:r w:rsidR="00FC13E8">
        <w:rPr>
          <w:rFonts w:ascii="Arial" w:hAnsi="Arial" w:cs="Arial"/>
        </w:rPr>
        <w:t xml:space="preserve">details, and under-recognition of potential adverse effects </w:t>
      </w:r>
      <w:r w:rsidR="001C25E9">
        <w:rPr>
          <w:rFonts w:ascii="Arial" w:hAnsi="Arial" w:cs="Arial"/>
        </w:rPr>
        <w:t>(e.g. h</w:t>
      </w:r>
      <w:r w:rsidR="00FC13E8">
        <w:rPr>
          <w:rFonts w:ascii="Arial" w:hAnsi="Arial" w:cs="Arial"/>
        </w:rPr>
        <w:t>ypophosphatemia</w:t>
      </w:r>
      <w:r w:rsidR="001C25E9">
        <w:rPr>
          <w:rFonts w:ascii="Arial" w:hAnsi="Arial" w:cs="Arial"/>
        </w:rPr>
        <w:t>)</w:t>
      </w:r>
      <w:r w:rsidR="00FC13E8">
        <w:rPr>
          <w:rFonts w:ascii="Arial" w:hAnsi="Arial" w:cs="Arial"/>
        </w:rPr>
        <w:t>. The quality improvement and education phase addressed these issues</w:t>
      </w:r>
      <w:r w:rsidR="001C25E9">
        <w:rPr>
          <w:rFonts w:ascii="Arial" w:hAnsi="Arial" w:cs="Arial"/>
        </w:rPr>
        <w:t xml:space="preserve"> (including consultation with respiratory and immunology</w:t>
      </w:r>
      <w:r w:rsidR="008B3D0B">
        <w:rPr>
          <w:rFonts w:ascii="Arial" w:hAnsi="Arial" w:cs="Arial"/>
        </w:rPr>
        <w:t xml:space="preserve"> experts</w:t>
      </w:r>
      <w:r w:rsidR="001C25E9">
        <w:rPr>
          <w:rFonts w:ascii="Arial" w:hAnsi="Arial" w:cs="Arial"/>
        </w:rPr>
        <w:t>)</w:t>
      </w:r>
      <w:r w:rsidR="00FC13E8">
        <w:rPr>
          <w:rFonts w:ascii="Arial" w:hAnsi="Arial" w:cs="Arial"/>
        </w:rPr>
        <w:t>, provided solutions and facilitated implementation of practice guidelines</w:t>
      </w:r>
      <w:r w:rsidR="001C25E9">
        <w:rPr>
          <w:rFonts w:ascii="Arial" w:hAnsi="Arial" w:cs="Arial"/>
        </w:rPr>
        <w:t>.</w:t>
      </w:r>
      <w:r w:rsidR="00FC13E8">
        <w:rPr>
          <w:rFonts w:ascii="Arial" w:hAnsi="Arial" w:cs="Arial"/>
        </w:rPr>
        <w:t xml:space="preserve"> </w:t>
      </w:r>
      <w:r w:rsidR="00284811">
        <w:rPr>
          <w:rFonts w:ascii="Arial" w:hAnsi="Arial" w:cs="Arial"/>
        </w:rPr>
        <w:t>T</w:t>
      </w:r>
      <w:r w:rsidR="00FC13E8">
        <w:rPr>
          <w:rFonts w:ascii="Arial" w:hAnsi="Arial" w:cs="Arial"/>
        </w:rPr>
        <w:t xml:space="preserve">he prospective audit </w:t>
      </w:r>
      <w:r w:rsidR="008B3D0B">
        <w:rPr>
          <w:rFonts w:ascii="Arial" w:hAnsi="Arial" w:cs="Arial"/>
        </w:rPr>
        <w:t xml:space="preserve">results </w:t>
      </w:r>
      <w:r w:rsidR="00FC13E8">
        <w:rPr>
          <w:rFonts w:ascii="Arial" w:hAnsi="Arial" w:cs="Arial"/>
        </w:rPr>
        <w:t>will be presented</w:t>
      </w:r>
      <w:r w:rsidR="00223EFA">
        <w:rPr>
          <w:rFonts w:ascii="Arial" w:hAnsi="Arial" w:cs="Arial"/>
        </w:rPr>
        <w:t xml:space="preserve"> at GP18</w:t>
      </w:r>
      <w:r w:rsidR="00FC13E8">
        <w:rPr>
          <w:rFonts w:ascii="Arial" w:hAnsi="Arial" w:cs="Arial"/>
        </w:rPr>
        <w:t>.</w:t>
      </w:r>
    </w:p>
    <w:p w14:paraId="282D1AB5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65665929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576C7E1D" w14:textId="2C526399" w:rsidR="00E969FA" w:rsidRPr="003F534D" w:rsidRDefault="008B3D0B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use of </w:t>
      </w:r>
      <w:r w:rsidR="001C25E9">
        <w:rPr>
          <w:rFonts w:ascii="Arial" w:hAnsi="Arial" w:cs="Arial"/>
        </w:rPr>
        <w:t xml:space="preserve">IV FCM requires careful consideration </w:t>
      </w:r>
      <w:r w:rsidR="0066609C">
        <w:rPr>
          <w:rFonts w:ascii="Arial" w:hAnsi="Arial" w:cs="Arial"/>
        </w:rPr>
        <w:t xml:space="preserve">of </w:t>
      </w:r>
      <w:r w:rsidR="001C25E9">
        <w:rPr>
          <w:rFonts w:ascii="Arial" w:hAnsi="Arial" w:cs="Arial"/>
        </w:rPr>
        <w:t xml:space="preserve">patient selection, administration and patient monitoring. </w:t>
      </w:r>
      <w:r w:rsidR="00696E3E">
        <w:rPr>
          <w:rFonts w:ascii="Arial" w:hAnsi="Arial" w:cs="Arial"/>
        </w:rPr>
        <w:t>Awareness of p</w:t>
      </w:r>
      <w:r w:rsidR="001C25E9">
        <w:rPr>
          <w:rFonts w:ascii="Arial" w:hAnsi="Arial" w:cs="Arial"/>
        </w:rPr>
        <w:t xml:space="preserve">recautions and potential adverse effects </w:t>
      </w:r>
      <w:r w:rsidR="00696E3E">
        <w:rPr>
          <w:rFonts w:ascii="Arial" w:hAnsi="Arial" w:cs="Arial"/>
        </w:rPr>
        <w:t xml:space="preserve">is required </w:t>
      </w:r>
      <w:r w:rsidR="0066609C">
        <w:rPr>
          <w:rFonts w:ascii="Arial" w:hAnsi="Arial" w:cs="Arial"/>
        </w:rPr>
        <w:t xml:space="preserve">to </w:t>
      </w:r>
      <w:r w:rsidR="001C25E9">
        <w:rPr>
          <w:rFonts w:ascii="Arial" w:hAnsi="Arial" w:cs="Arial"/>
        </w:rPr>
        <w:t>ensure patient safety</w:t>
      </w:r>
      <w:r w:rsidR="00696E3E">
        <w:rPr>
          <w:rFonts w:ascii="Arial" w:hAnsi="Arial" w:cs="Arial"/>
        </w:rPr>
        <w:t xml:space="preserve">. The clinical audit, education </w:t>
      </w:r>
      <w:r w:rsidR="00683704">
        <w:rPr>
          <w:rFonts w:ascii="Arial" w:hAnsi="Arial" w:cs="Arial"/>
        </w:rPr>
        <w:t xml:space="preserve">and </w:t>
      </w:r>
      <w:r w:rsidR="00696E3E">
        <w:rPr>
          <w:rFonts w:ascii="Arial" w:hAnsi="Arial" w:cs="Arial"/>
        </w:rPr>
        <w:t xml:space="preserve">practice guideline implementation regarding IV FCM achieved quality practice improvement. </w:t>
      </w:r>
      <w:r w:rsidR="001C25E9">
        <w:rPr>
          <w:rFonts w:ascii="Arial" w:hAnsi="Arial" w:cs="Arial"/>
        </w:rPr>
        <w:t xml:space="preserve"> </w:t>
      </w:r>
    </w:p>
    <w:p w14:paraId="782F03AF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3EAD5905" w14:textId="77777777" w:rsidR="007A3219" w:rsidRPr="00F12827" w:rsidRDefault="00E969FA" w:rsidP="00A364F0">
      <w:pPr>
        <w:spacing w:after="0"/>
        <w:rPr>
          <w:rFonts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F6F02" w14:textId="77777777" w:rsidR="00E10A8A" w:rsidRDefault="00E10A8A" w:rsidP="00DB6276">
      <w:pPr>
        <w:spacing w:after="0" w:line="240" w:lineRule="auto"/>
      </w:pPr>
      <w:r>
        <w:separator/>
      </w:r>
    </w:p>
  </w:endnote>
  <w:endnote w:type="continuationSeparator" w:id="0">
    <w:p w14:paraId="53600709" w14:textId="77777777" w:rsidR="00E10A8A" w:rsidRDefault="00E10A8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D287B" w14:textId="77777777" w:rsidR="00E10A8A" w:rsidRDefault="00E10A8A" w:rsidP="00DB6276">
      <w:pPr>
        <w:spacing w:after="0" w:line="240" w:lineRule="auto"/>
      </w:pPr>
      <w:r>
        <w:separator/>
      </w:r>
    </w:p>
  </w:footnote>
  <w:footnote w:type="continuationSeparator" w:id="0">
    <w:p w14:paraId="56DEA1BF" w14:textId="77777777" w:rsidR="00E10A8A" w:rsidRDefault="00E10A8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F83BA1"/>
    <w:multiLevelType w:val="hybridMultilevel"/>
    <w:tmpl w:val="FE0CD8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5"/>
  </w:num>
  <w:num w:numId="5">
    <w:abstractNumId w:val="12"/>
  </w:num>
  <w:num w:numId="6">
    <w:abstractNumId w:val="23"/>
  </w:num>
  <w:num w:numId="7">
    <w:abstractNumId w:val="7"/>
  </w:num>
  <w:num w:numId="8">
    <w:abstractNumId w:val="13"/>
  </w:num>
  <w:num w:numId="9">
    <w:abstractNumId w:val="6"/>
  </w:num>
  <w:num w:numId="10">
    <w:abstractNumId w:val="22"/>
  </w:num>
  <w:num w:numId="11">
    <w:abstractNumId w:val="14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7"/>
  </w:num>
  <w:num w:numId="17">
    <w:abstractNumId w:val="3"/>
  </w:num>
  <w:num w:numId="18">
    <w:abstractNumId w:val="21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  <w:num w:numId="22">
    <w:abstractNumId w:val="19"/>
  </w:num>
  <w:num w:numId="23">
    <w:abstractNumId w:val="20"/>
  </w:num>
  <w:num w:numId="24">
    <w:abstractNumId w:val="11"/>
  </w:num>
  <w:num w:numId="25">
    <w:abstractNumId w:val="26"/>
  </w:num>
  <w:num w:numId="26">
    <w:abstractNumId w:val="27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D1EB3"/>
    <w:rsid w:val="000F6A8F"/>
    <w:rsid w:val="00151A52"/>
    <w:rsid w:val="001A0E12"/>
    <w:rsid w:val="001A7273"/>
    <w:rsid w:val="001C25E9"/>
    <w:rsid w:val="00204AE2"/>
    <w:rsid w:val="002061A7"/>
    <w:rsid w:val="00223EFA"/>
    <w:rsid w:val="00226C37"/>
    <w:rsid w:val="00237188"/>
    <w:rsid w:val="00284811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D3659"/>
    <w:rsid w:val="004F5E9D"/>
    <w:rsid w:val="00556C76"/>
    <w:rsid w:val="00561AD8"/>
    <w:rsid w:val="005A5926"/>
    <w:rsid w:val="005C4F93"/>
    <w:rsid w:val="006150A8"/>
    <w:rsid w:val="00634A5F"/>
    <w:rsid w:val="0066609C"/>
    <w:rsid w:val="00683704"/>
    <w:rsid w:val="00687FF6"/>
    <w:rsid w:val="006920DF"/>
    <w:rsid w:val="006962ED"/>
    <w:rsid w:val="00696E3E"/>
    <w:rsid w:val="006D10CF"/>
    <w:rsid w:val="007340C2"/>
    <w:rsid w:val="007A3219"/>
    <w:rsid w:val="007A4975"/>
    <w:rsid w:val="007B6679"/>
    <w:rsid w:val="007F12EF"/>
    <w:rsid w:val="008426B4"/>
    <w:rsid w:val="00866BFD"/>
    <w:rsid w:val="008A6431"/>
    <w:rsid w:val="008B3D0B"/>
    <w:rsid w:val="008D7BF0"/>
    <w:rsid w:val="00904710"/>
    <w:rsid w:val="00925DCD"/>
    <w:rsid w:val="00937FEB"/>
    <w:rsid w:val="0098351A"/>
    <w:rsid w:val="00984CE1"/>
    <w:rsid w:val="00991FB6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6B6A"/>
    <w:rsid w:val="00AA7219"/>
    <w:rsid w:val="00AC7F73"/>
    <w:rsid w:val="00AE5A5E"/>
    <w:rsid w:val="00AF0CDD"/>
    <w:rsid w:val="00B03208"/>
    <w:rsid w:val="00B12D26"/>
    <w:rsid w:val="00B20279"/>
    <w:rsid w:val="00B730A7"/>
    <w:rsid w:val="00BB4C25"/>
    <w:rsid w:val="00BD3208"/>
    <w:rsid w:val="00BD72AD"/>
    <w:rsid w:val="00C218BD"/>
    <w:rsid w:val="00C3505E"/>
    <w:rsid w:val="00C4224F"/>
    <w:rsid w:val="00C426BE"/>
    <w:rsid w:val="00CA4098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10A8A"/>
    <w:rsid w:val="00E25F07"/>
    <w:rsid w:val="00E276B8"/>
    <w:rsid w:val="00E27C34"/>
    <w:rsid w:val="00E36586"/>
    <w:rsid w:val="00E47A4C"/>
    <w:rsid w:val="00E55FB0"/>
    <w:rsid w:val="00E969FA"/>
    <w:rsid w:val="00EA51A6"/>
    <w:rsid w:val="00EC0468"/>
    <w:rsid w:val="00EC46E6"/>
    <w:rsid w:val="00ED7C3D"/>
    <w:rsid w:val="00EE417F"/>
    <w:rsid w:val="00F12827"/>
    <w:rsid w:val="00F21792"/>
    <w:rsid w:val="00F75019"/>
    <w:rsid w:val="00FA1A9A"/>
    <w:rsid w:val="00FC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CC7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Joy Gailer</cp:lastModifiedBy>
  <cp:revision>5</cp:revision>
  <dcterms:created xsi:type="dcterms:W3CDTF">2018-02-27T02:40:00Z</dcterms:created>
  <dcterms:modified xsi:type="dcterms:W3CDTF">2018-02-27T02:59:00Z</dcterms:modified>
</cp:coreProperties>
</file>