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E6D48" w14:textId="77777777" w:rsidR="005C4F93" w:rsidRDefault="005C4F93" w:rsidP="00E969FA">
      <w:pPr>
        <w:spacing w:after="0"/>
        <w:rPr>
          <w:rFonts w:ascii="Arial" w:hAnsi="Arial" w:cs="Arial"/>
          <w:b/>
        </w:rPr>
      </w:pPr>
      <w:r w:rsidRPr="005C4F93">
        <w:rPr>
          <w:rFonts w:ascii="Arial" w:hAnsi="Arial" w:cs="Arial"/>
          <w:b/>
        </w:rPr>
        <w:t>Title</w:t>
      </w:r>
    </w:p>
    <w:p w14:paraId="201351B7" w14:textId="63264E0F" w:rsidR="005C4F93" w:rsidRDefault="0098534A" w:rsidP="00E969FA">
      <w:pPr>
        <w:spacing w:after="0"/>
        <w:rPr>
          <w:rFonts w:ascii="Arial" w:hAnsi="Arial" w:cs="Arial"/>
        </w:rPr>
      </w:pPr>
      <w:r>
        <w:rPr>
          <w:rFonts w:ascii="Arial" w:hAnsi="Arial" w:cs="Arial"/>
        </w:rPr>
        <w:t>How we (mis)conceptualise p-values (and we can do about it)</w:t>
      </w:r>
    </w:p>
    <w:p w14:paraId="2032A097" w14:textId="77777777" w:rsidR="005C4F93" w:rsidRPr="005C4F93" w:rsidRDefault="005C4F93" w:rsidP="00E969FA">
      <w:pPr>
        <w:spacing w:after="0"/>
        <w:rPr>
          <w:rFonts w:ascii="Arial" w:hAnsi="Arial" w:cs="Arial"/>
        </w:rPr>
      </w:pPr>
      <w:bookmarkStart w:id="0" w:name="_GoBack"/>
      <w:bookmarkEnd w:id="0"/>
    </w:p>
    <w:p w14:paraId="1A0C6066" w14:textId="77777777" w:rsidR="00E969FA" w:rsidRPr="003F534D" w:rsidRDefault="00E969FA" w:rsidP="00E969FA">
      <w:pPr>
        <w:spacing w:after="0"/>
        <w:rPr>
          <w:rFonts w:ascii="Arial" w:hAnsi="Arial" w:cs="Arial"/>
        </w:rPr>
      </w:pPr>
    </w:p>
    <w:p w14:paraId="67DAD962" w14:textId="77777777" w:rsidR="00E969FA" w:rsidRPr="003F534D" w:rsidRDefault="00E969FA" w:rsidP="00E969FA">
      <w:pPr>
        <w:spacing w:after="0"/>
        <w:rPr>
          <w:rFonts w:ascii="Arial" w:hAnsi="Arial" w:cs="Arial"/>
          <w:b/>
        </w:rPr>
      </w:pPr>
      <w:r w:rsidRPr="003F534D">
        <w:rPr>
          <w:rFonts w:ascii="Arial" w:hAnsi="Arial" w:cs="Arial"/>
          <w:b/>
        </w:rPr>
        <w:t>Background</w:t>
      </w:r>
    </w:p>
    <w:p w14:paraId="3AA70D70" w14:textId="1E1D88AA" w:rsidR="0098534A" w:rsidRDefault="0098534A" w:rsidP="00E969FA">
      <w:pPr>
        <w:pStyle w:val="NoSpacing"/>
        <w:rPr>
          <w:rFonts w:ascii="Arial" w:hAnsi="Arial" w:cs="Arial"/>
        </w:rPr>
      </w:pPr>
      <w:r w:rsidRPr="0098534A">
        <w:rPr>
          <w:rFonts w:ascii="Arial" w:hAnsi="Arial" w:cs="Arial"/>
        </w:rPr>
        <w:t>Researchers and clinicians have been criticised for frequently misinterpreting and misusing p-values.</w:t>
      </w:r>
      <w:r>
        <w:rPr>
          <w:rFonts w:ascii="Arial" w:hAnsi="Arial" w:cs="Arial"/>
        </w:rPr>
        <w:t xml:space="preserve">  P</w:t>
      </w:r>
      <w:r w:rsidRPr="0098534A">
        <w:rPr>
          <w:rFonts w:ascii="Arial" w:hAnsi="Arial" w:cs="Arial"/>
        </w:rPr>
        <w:t>-values are often misinterpreted as providing far stronger evidence than is actually the case, which not only has harmful impacts on the understanding of medical research, but potentially on the delivery of patient care.</w:t>
      </w:r>
    </w:p>
    <w:p w14:paraId="7350A1BD" w14:textId="77777777" w:rsidR="00E969FA" w:rsidRPr="003F534D" w:rsidRDefault="00E969FA" w:rsidP="00E969FA">
      <w:pPr>
        <w:pStyle w:val="NoSpacing"/>
        <w:rPr>
          <w:rFonts w:ascii="Arial" w:hAnsi="Arial" w:cs="Arial"/>
        </w:rPr>
      </w:pPr>
    </w:p>
    <w:p w14:paraId="7759BC3A" w14:textId="77777777" w:rsidR="00E969FA" w:rsidRPr="003F534D" w:rsidRDefault="00E969FA" w:rsidP="00E969FA">
      <w:pPr>
        <w:spacing w:after="0"/>
        <w:rPr>
          <w:rFonts w:ascii="Arial" w:hAnsi="Arial" w:cs="Arial"/>
          <w:b/>
        </w:rPr>
      </w:pPr>
      <w:r w:rsidRPr="003F534D">
        <w:rPr>
          <w:rFonts w:ascii="Arial" w:hAnsi="Arial" w:cs="Arial"/>
          <w:b/>
        </w:rPr>
        <w:t>Aims</w:t>
      </w:r>
    </w:p>
    <w:p w14:paraId="489704EA" w14:textId="20AFD1EB" w:rsidR="00E969FA" w:rsidRPr="003F534D" w:rsidRDefault="0098534A" w:rsidP="00E969FA">
      <w:pPr>
        <w:pStyle w:val="NoSpacing"/>
        <w:rPr>
          <w:rFonts w:ascii="Arial" w:hAnsi="Arial" w:cs="Arial"/>
        </w:rPr>
      </w:pPr>
      <w:r>
        <w:rPr>
          <w:rFonts w:ascii="Arial" w:hAnsi="Arial" w:cs="Arial"/>
        </w:rPr>
        <w:t xml:space="preserve">This study </w:t>
      </w:r>
      <w:r w:rsidRPr="0098534A">
        <w:rPr>
          <w:rFonts w:ascii="Arial" w:hAnsi="Arial" w:cs="Arial"/>
        </w:rPr>
        <w:t>sought to describe and categorise what and how experienced clinicians (in this case, Australian and New Zealand GPs) conceptualised p-values presented in the manner that it is typically encountered in a medical publication.  These results may help inform how to provide targeted statistics education to clinicians.</w:t>
      </w:r>
    </w:p>
    <w:p w14:paraId="64A46AFC" w14:textId="77777777" w:rsidR="00E969FA" w:rsidRPr="003F534D" w:rsidRDefault="00E969FA" w:rsidP="00E969FA">
      <w:pPr>
        <w:pStyle w:val="NoSpacing"/>
        <w:rPr>
          <w:rFonts w:ascii="Arial" w:hAnsi="Arial" w:cs="Arial"/>
        </w:rPr>
      </w:pPr>
    </w:p>
    <w:p w14:paraId="7E5F3C89" w14:textId="77777777" w:rsidR="00E969FA" w:rsidRPr="003F534D" w:rsidRDefault="00E969FA" w:rsidP="00E969FA">
      <w:pPr>
        <w:spacing w:after="0"/>
        <w:rPr>
          <w:rFonts w:ascii="Arial" w:hAnsi="Arial" w:cs="Arial"/>
          <w:b/>
        </w:rPr>
      </w:pPr>
      <w:r w:rsidRPr="003F534D">
        <w:rPr>
          <w:rFonts w:ascii="Arial" w:hAnsi="Arial" w:cs="Arial"/>
          <w:b/>
        </w:rPr>
        <w:t>Method</w:t>
      </w:r>
    </w:p>
    <w:p w14:paraId="26A25EB0" w14:textId="6A431077" w:rsidR="00E969FA" w:rsidRPr="003F534D" w:rsidRDefault="0098534A" w:rsidP="00E969FA">
      <w:pPr>
        <w:pStyle w:val="NoSpacing"/>
        <w:rPr>
          <w:rFonts w:ascii="Arial" w:hAnsi="Arial" w:cs="Arial"/>
        </w:rPr>
      </w:pPr>
      <w:r w:rsidRPr="0098534A">
        <w:rPr>
          <w:rFonts w:ascii="Arial" w:hAnsi="Arial" w:cs="Arial"/>
        </w:rPr>
        <w:t>This mixed methods study used quantitative and qualitative questions embedded in an online questionnaire, delivered through an Australian and New Zealand Facebook group</w:t>
      </w:r>
      <w:r w:rsidR="005A5E12">
        <w:rPr>
          <w:rFonts w:ascii="Arial" w:hAnsi="Arial" w:cs="Arial"/>
        </w:rPr>
        <w:t xml:space="preserve"> (GPs Down Under)</w:t>
      </w:r>
      <w:r w:rsidRPr="0098534A">
        <w:rPr>
          <w:rFonts w:ascii="Arial" w:hAnsi="Arial" w:cs="Arial"/>
        </w:rPr>
        <w:t xml:space="preserve"> in 2017.   It included questions that elaborated the participant’s conceptualisation of “p = 0.05” within a scenario, and tested their p-value interpretation ability and confidence.</w:t>
      </w:r>
    </w:p>
    <w:p w14:paraId="3E1756C9" w14:textId="77777777" w:rsidR="00E969FA" w:rsidRPr="003F534D" w:rsidRDefault="00E969FA" w:rsidP="00E969FA">
      <w:pPr>
        <w:pStyle w:val="NoSpacing"/>
        <w:rPr>
          <w:rFonts w:ascii="Arial" w:hAnsi="Arial" w:cs="Arial"/>
        </w:rPr>
      </w:pPr>
    </w:p>
    <w:p w14:paraId="2069367C" w14:textId="77777777" w:rsidR="00E969FA" w:rsidRPr="003F534D" w:rsidRDefault="00E969FA" w:rsidP="00E969FA">
      <w:pPr>
        <w:pStyle w:val="NoSpacing"/>
        <w:rPr>
          <w:rFonts w:ascii="Arial" w:hAnsi="Arial" w:cs="Arial"/>
        </w:rPr>
      </w:pPr>
    </w:p>
    <w:p w14:paraId="7F5C083D" w14:textId="77777777" w:rsidR="00E969FA" w:rsidRPr="003F534D" w:rsidRDefault="00E969FA" w:rsidP="00E969FA">
      <w:pPr>
        <w:spacing w:after="0"/>
        <w:rPr>
          <w:rFonts w:ascii="Arial" w:hAnsi="Arial" w:cs="Arial"/>
          <w:b/>
        </w:rPr>
      </w:pPr>
      <w:r w:rsidRPr="003F534D">
        <w:rPr>
          <w:rFonts w:ascii="Arial" w:hAnsi="Arial" w:cs="Arial"/>
          <w:b/>
        </w:rPr>
        <w:t>Results</w:t>
      </w:r>
    </w:p>
    <w:p w14:paraId="08B4FA29" w14:textId="76CC5FC2" w:rsidR="00E969FA" w:rsidRPr="003F534D" w:rsidRDefault="005A5E12" w:rsidP="00E969FA">
      <w:pPr>
        <w:pStyle w:val="NoSpacing"/>
        <w:rPr>
          <w:rFonts w:ascii="Arial" w:hAnsi="Arial" w:cs="Arial"/>
        </w:rPr>
      </w:pPr>
      <w:r w:rsidRPr="005A5E12">
        <w:rPr>
          <w:rFonts w:ascii="Arial" w:hAnsi="Arial" w:cs="Arial"/>
        </w:rPr>
        <w:t>Participant conceptualisations of p-values were described by six thematic categories.  The most common (and erroneous) conceptualisation was that p-values numerically indicated a “real-world probability”.  No demographic factor, including research experience, seemed associated with better interpretation ability.  A confidence-ability gap was detected.</w:t>
      </w:r>
    </w:p>
    <w:p w14:paraId="21ED9CE3" w14:textId="77777777" w:rsidR="00E969FA" w:rsidRPr="003F534D" w:rsidRDefault="00E969FA" w:rsidP="00E969FA">
      <w:pPr>
        <w:pStyle w:val="NoSpacing"/>
        <w:rPr>
          <w:rFonts w:ascii="Arial" w:hAnsi="Arial" w:cs="Arial"/>
        </w:rPr>
      </w:pPr>
    </w:p>
    <w:p w14:paraId="33A86777" w14:textId="77777777" w:rsidR="00E969FA" w:rsidRPr="003F534D" w:rsidRDefault="00E969FA" w:rsidP="00E969FA">
      <w:pPr>
        <w:pStyle w:val="NoSpacing"/>
        <w:rPr>
          <w:rFonts w:ascii="Arial" w:hAnsi="Arial" w:cs="Arial"/>
        </w:rPr>
      </w:pPr>
    </w:p>
    <w:p w14:paraId="5E960025" w14:textId="77777777" w:rsidR="00E969FA" w:rsidRPr="003F534D" w:rsidRDefault="00E969FA" w:rsidP="00E969FA">
      <w:pPr>
        <w:spacing w:after="0"/>
        <w:rPr>
          <w:rFonts w:ascii="Arial" w:hAnsi="Arial" w:cs="Arial"/>
          <w:b/>
        </w:rPr>
      </w:pPr>
      <w:r w:rsidRPr="003F534D">
        <w:rPr>
          <w:rFonts w:ascii="Arial" w:hAnsi="Arial" w:cs="Arial"/>
          <w:b/>
        </w:rPr>
        <w:t>Conclusion</w:t>
      </w:r>
    </w:p>
    <w:p w14:paraId="3B9062F5" w14:textId="2FF606EB" w:rsidR="00E969FA" w:rsidRPr="003F534D" w:rsidRDefault="005A5E12" w:rsidP="00E969FA">
      <w:pPr>
        <w:pStyle w:val="NoSpacing"/>
        <w:rPr>
          <w:rFonts w:ascii="Arial" w:hAnsi="Arial" w:cs="Arial"/>
        </w:rPr>
      </w:pPr>
      <w:r w:rsidRPr="005A5E12">
        <w:rPr>
          <w:rFonts w:ascii="Arial" w:hAnsi="Arial" w:cs="Arial"/>
        </w:rPr>
        <w:t>P-value misunderstanding is pervasive and might be influenced by a few central misconceptions.  Statistics education for clinicians should consider explicitly addressing the most common misconceptions.</w:t>
      </w:r>
    </w:p>
    <w:p w14:paraId="2D3130D7" w14:textId="77777777" w:rsidR="00E969FA" w:rsidRPr="003F534D" w:rsidRDefault="00E969FA" w:rsidP="00E969FA">
      <w:pPr>
        <w:pStyle w:val="NoSpacing"/>
        <w:rPr>
          <w:rFonts w:ascii="Arial" w:hAnsi="Arial" w:cs="Arial"/>
        </w:rPr>
      </w:pPr>
    </w:p>
    <w:p w14:paraId="4339BFB9" w14:textId="0C7424C4" w:rsidR="007A3219" w:rsidRPr="00F12827" w:rsidRDefault="007A3219" w:rsidP="00A364F0">
      <w:pPr>
        <w:spacing w:after="0"/>
        <w:rPr>
          <w:rFonts w:cs="Arial"/>
        </w:rPr>
      </w:pPr>
    </w:p>
    <w:sectPr w:rsidR="007A3219" w:rsidRPr="00F12827"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49AC8" w14:textId="77777777" w:rsidR="00177DFE" w:rsidRDefault="00177DFE" w:rsidP="00DB6276">
      <w:pPr>
        <w:spacing w:after="0" w:line="240" w:lineRule="auto"/>
      </w:pPr>
      <w:r>
        <w:separator/>
      </w:r>
    </w:p>
  </w:endnote>
  <w:endnote w:type="continuationSeparator" w:id="0">
    <w:p w14:paraId="50C51A39" w14:textId="77777777" w:rsidR="00177DFE" w:rsidRDefault="00177DFE"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D48A1" w14:textId="77777777" w:rsidR="00177DFE" w:rsidRDefault="00177DFE" w:rsidP="00DB6276">
      <w:pPr>
        <w:spacing w:after="0" w:line="240" w:lineRule="auto"/>
      </w:pPr>
      <w:r>
        <w:separator/>
      </w:r>
    </w:p>
  </w:footnote>
  <w:footnote w:type="continuationSeparator" w:id="0">
    <w:p w14:paraId="0CBA0CE9" w14:textId="77777777" w:rsidR="00177DFE" w:rsidRDefault="00177DFE"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F6"/>
    <w:rsid w:val="0000578B"/>
    <w:rsid w:val="000530F3"/>
    <w:rsid w:val="0006205D"/>
    <w:rsid w:val="00065794"/>
    <w:rsid w:val="0009481D"/>
    <w:rsid w:val="000951B7"/>
    <w:rsid w:val="000A005C"/>
    <w:rsid w:val="000D1EB3"/>
    <w:rsid w:val="00177DFE"/>
    <w:rsid w:val="001A0E12"/>
    <w:rsid w:val="001A7273"/>
    <w:rsid w:val="00204AE2"/>
    <w:rsid w:val="002061A7"/>
    <w:rsid w:val="00226C37"/>
    <w:rsid w:val="00237188"/>
    <w:rsid w:val="002C520E"/>
    <w:rsid w:val="002D1372"/>
    <w:rsid w:val="002D267A"/>
    <w:rsid w:val="002D6E16"/>
    <w:rsid w:val="00323232"/>
    <w:rsid w:val="003319CA"/>
    <w:rsid w:val="0037377D"/>
    <w:rsid w:val="003A5C47"/>
    <w:rsid w:val="003B56C9"/>
    <w:rsid w:val="003C0B6D"/>
    <w:rsid w:val="003D7F5C"/>
    <w:rsid w:val="004806DA"/>
    <w:rsid w:val="004A4C8F"/>
    <w:rsid w:val="004A7DF6"/>
    <w:rsid w:val="004A7F18"/>
    <w:rsid w:val="004C4FEF"/>
    <w:rsid w:val="004D35FA"/>
    <w:rsid w:val="004F5E9D"/>
    <w:rsid w:val="00556C76"/>
    <w:rsid w:val="00561AD8"/>
    <w:rsid w:val="005A5E12"/>
    <w:rsid w:val="005C4F93"/>
    <w:rsid w:val="006150A8"/>
    <w:rsid w:val="00634A5F"/>
    <w:rsid w:val="00687FF6"/>
    <w:rsid w:val="006D10CF"/>
    <w:rsid w:val="006E5BD4"/>
    <w:rsid w:val="007340C2"/>
    <w:rsid w:val="007A3219"/>
    <w:rsid w:val="007A4975"/>
    <w:rsid w:val="008426B4"/>
    <w:rsid w:val="00866BFD"/>
    <w:rsid w:val="008A6431"/>
    <w:rsid w:val="008D7BF0"/>
    <w:rsid w:val="00937FEB"/>
    <w:rsid w:val="0098351A"/>
    <w:rsid w:val="00984CE1"/>
    <w:rsid w:val="0098534A"/>
    <w:rsid w:val="00995919"/>
    <w:rsid w:val="009C7760"/>
    <w:rsid w:val="00A06D50"/>
    <w:rsid w:val="00A12B60"/>
    <w:rsid w:val="00A270EE"/>
    <w:rsid w:val="00A364F0"/>
    <w:rsid w:val="00A37C03"/>
    <w:rsid w:val="00A4054A"/>
    <w:rsid w:val="00A606C7"/>
    <w:rsid w:val="00A80054"/>
    <w:rsid w:val="00A848B4"/>
    <w:rsid w:val="00AA6275"/>
    <w:rsid w:val="00AA7219"/>
    <w:rsid w:val="00AC7F73"/>
    <w:rsid w:val="00AE5A5E"/>
    <w:rsid w:val="00B03208"/>
    <w:rsid w:val="00B12D26"/>
    <w:rsid w:val="00B20279"/>
    <w:rsid w:val="00B730A7"/>
    <w:rsid w:val="00BD3208"/>
    <w:rsid w:val="00BD72AD"/>
    <w:rsid w:val="00C218BD"/>
    <w:rsid w:val="00C3505E"/>
    <w:rsid w:val="00C4224F"/>
    <w:rsid w:val="00C426BE"/>
    <w:rsid w:val="00CA4098"/>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7A4C"/>
    <w:rsid w:val="00E55FB0"/>
    <w:rsid w:val="00E969FA"/>
    <w:rsid w:val="00EA51A6"/>
    <w:rsid w:val="00EC46E6"/>
    <w:rsid w:val="00ED7C3D"/>
    <w:rsid w:val="00EE417F"/>
    <w:rsid w:val="00F12827"/>
    <w:rsid w:val="00F21792"/>
    <w:rsid w:val="00F75019"/>
    <w:rsid w:val="00FA1A9A"/>
    <w:rsid w:val="00FA26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33033"/>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Michael Tam</cp:lastModifiedBy>
  <cp:revision>3</cp:revision>
  <dcterms:created xsi:type="dcterms:W3CDTF">2017-11-27T14:15:00Z</dcterms:created>
  <dcterms:modified xsi:type="dcterms:W3CDTF">2018-02-27T01:23:00Z</dcterms:modified>
</cp:coreProperties>
</file>