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ACB5" w14:textId="4642D3F6" w:rsidR="00A83F5A" w:rsidRDefault="00757D04" w:rsidP="00654465">
      <w:pPr>
        <w:pStyle w:val="Heading4"/>
      </w:pPr>
      <w:r>
        <w:t xml:space="preserve">Curriculum resources for belonging – </w:t>
      </w:r>
      <w:r w:rsidRPr="006312D8">
        <w:t>Years</w:t>
      </w:r>
      <w:r>
        <w:t xml:space="preserve"> 7 to 12</w:t>
      </w:r>
    </w:p>
    <w:p w14:paraId="0E860B64" w14:textId="77777777" w:rsidR="00660217" w:rsidRPr="00660217" w:rsidRDefault="00660217" w:rsidP="00660217">
      <w:pPr>
        <w:pStyle w:val="Tablecopy"/>
      </w:pPr>
    </w:p>
    <w:tbl>
      <w:tblPr>
        <w:tblStyle w:val="TableGrid"/>
        <w:tblW w:w="15446" w:type="dxa"/>
        <w:tblLayout w:type="fixed"/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4394"/>
        <w:gridCol w:w="2694"/>
        <w:gridCol w:w="1842"/>
        <w:gridCol w:w="4111"/>
      </w:tblGrid>
      <w:tr w:rsidR="00C32F79" w:rsidRPr="003B0EC7" w14:paraId="2861F4FD" w14:textId="77777777" w:rsidTr="008B40C2">
        <w:trPr>
          <w:tblHeader/>
        </w:trPr>
        <w:tc>
          <w:tcPr>
            <w:tcW w:w="988" w:type="dxa"/>
            <w:shd w:val="clear" w:color="auto" w:fill="E4D6E7"/>
          </w:tcPr>
          <w:p w14:paraId="64D645BE" w14:textId="77777777" w:rsidR="00757D04" w:rsidRPr="006312D8" w:rsidRDefault="00757D04" w:rsidP="00654465">
            <w:pPr>
              <w:pStyle w:val="Tableheading"/>
            </w:pPr>
            <w:r w:rsidRPr="006312D8">
              <w:t>Audience</w:t>
            </w:r>
          </w:p>
        </w:tc>
        <w:tc>
          <w:tcPr>
            <w:tcW w:w="1417" w:type="dxa"/>
            <w:shd w:val="clear" w:color="auto" w:fill="E4D6E7"/>
          </w:tcPr>
          <w:p w14:paraId="0B3E79E5" w14:textId="77777777" w:rsidR="00757D04" w:rsidRPr="006312D8" w:rsidRDefault="00757D04" w:rsidP="00654465">
            <w:pPr>
              <w:pStyle w:val="Tableheading"/>
            </w:pPr>
            <w:r w:rsidRPr="006312D8">
              <w:t>Resource</w:t>
            </w:r>
          </w:p>
        </w:tc>
        <w:tc>
          <w:tcPr>
            <w:tcW w:w="4394" w:type="dxa"/>
            <w:shd w:val="clear" w:color="auto" w:fill="E4D6E7"/>
          </w:tcPr>
          <w:p w14:paraId="76D700EF" w14:textId="77777777" w:rsidR="00757D04" w:rsidRPr="006312D8" w:rsidRDefault="00757D04" w:rsidP="00654465">
            <w:pPr>
              <w:pStyle w:val="Tableheading"/>
            </w:pPr>
            <w:r w:rsidRPr="006312D8">
              <w:t>Description or links to theme</w:t>
            </w:r>
          </w:p>
        </w:tc>
        <w:tc>
          <w:tcPr>
            <w:tcW w:w="2694" w:type="dxa"/>
            <w:shd w:val="clear" w:color="auto" w:fill="E4D6E7"/>
          </w:tcPr>
          <w:p w14:paraId="314BBA40" w14:textId="77777777" w:rsidR="00757D04" w:rsidRPr="006312D8" w:rsidRDefault="00757D04" w:rsidP="00654465">
            <w:pPr>
              <w:pStyle w:val="Tableheading"/>
            </w:pPr>
            <w:r w:rsidRPr="006312D8">
              <w:t>Access</w:t>
            </w:r>
          </w:p>
        </w:tc>
        <w:tc>
          <w:tcPr>
            <w:tcW w:w="1842" w:type="dxa"/>
            <w:shd w:val="clear" w:color="auto" w:fill="E4D6E7"/>
          </w:tcPr>
          <w:p w14:paraId="4134F29B" w14:textId="77777777" w:rsidR="00757D04" w:rsidRPr="006312D8" w:rsidRDefault="00757D04" w:rsidP="00654465">
            <w:pPr>
              <w:pStyle w:val="Tableheading"/>
            </w:pPr>
            <w:r w:rsidRPr="006312D8">
              <w:t>Author/contributor</w:t>
            </w:r>
          </w:p>
        </w:tc>
        <w:tc>
          <w:tcPr>
            <w:tcW w:w="4111" w:type="dxa"/>
            <w:shd w:val="clear" w:color="auto" w:fill="E4D6E7"/>
          </w:tcPr>
          <w:p w14:paraId="274BF77B" w14:textId="77777777" w:rsidR="00757D04" w:rsidRPr="006312D8" w:rsidRDefault="00757D04" w:rsidP="00654465">
            <w:pPr>
              <w:pStyle w:val="Tableheading"/>
            </w:pPr>
            <w:r w:rsidRPr="006312D8">
              <w:t>Notes</w:t>
            </w:r>
          </w:p>
        </w:tc>
      </w:tr>
      <w:tr w:rsidR="008B40C2" w:rsidRPr="003B0EC7" w14:paraId="0CC2A8E1" w14:textId="77777777" w:rsidTr="008B40C2">
        <w:tc>
          <w:tcPr>
            <w:tcW w:w="988" w:type="dxa"/>
          </w:tcPr>
          <w:p w14:paraId="51005671" w14:textId="77777777" w:rsidR="00757D04" w:rsidRDefault="00757D04" w:rsidP="006312D8">
            <w:pPr>
              <w:pStyle w:val="Tablecopy"/>
            </w:pPr>
            <w:r>
              <w:t>Year 7</w:t>
            </w:r>
          </w:p>
        </w:tc>
        <w:tc>
          <w:tcPr>
            <w:tcW w:w="1417" w:type="dxa"/>
          </w:tcPr>
          <w:p w14:paraId="1501004D" w14:textId="77777777" w:rsidR="00757D04" w:rsidRPr="00A057BE" w:rsidRDefault="00757D04" w:rsidP="006312D8">
            <w:pPr>
              <w:pStyle w:val="Tablecopy"/>
            </w:pPr>
            <w:r w:rsidRPr="00B41BFC">
              <w:t>First Day Series 1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4394" w:type="dxa"/>
          </w:tcPr>
          <w:p w14:paraId="627535E1" w14:textId="77777777" w:rsidR="00757D04" w:rsidRPr="006312D8" w:rsidRDefault="00757D04" w:rsidP="006312D8">
            <w:pPr>
              <w:pStyle w:val="Tablecopy"/>
            </w:pPr>
            <w:r w:rsidRPr="006312D8">
              <w:t>This series follows transgender girl Hannah as she begins high school. The resource is aimed at building inclusive classrooms and supporting students through their own high school transitions.</w:t>
            </w:r>
            <w:r w:rsidRPr="006312D8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2694" w:type="dxa"/>
          </w:tcPr>
          <w:p w14:paraId="45A0E383" w14:textId="77777777" w:rsidR="00757D04" w:rsidRPr="006F0287" w:rsidRDefault="00000000" w:rsidP="006312D8">
            <w:pPr>
              <w:pStyle w:val="Tablecopy"/>
              <w:rPr>
                <w:rStyle w:val="Hyperlink"/>
              </w:rPr>
            </w:pPr>
            <w:hyperlink r:id="rId7" w:history="1">
              <w:r w:rsidR="00757D04" w:rsidRPr="006F0287">
                <w:rPr>
                  <w:rStyle w:val="Hyperlink"/>
                </w:rPr>
                <w:t>https://actf.com.au/education/resources/id/10444/first-day-series-1-resource</w:t>
              </w:r>
            </w:hyperlink>
            <w:r w:rsidR="00757D04" w:rsidRPr="006F0287">
              <w:rPr>
                <w:rStyle w:val="Hyperlink"/>
              </w:rPr>
              <w:t xml:space="preserve"> </w:t>
            </w:r>
          </w:p>
          <w:p w14:paraId="4844EC36" w14:textId="77777777" w:rsidR="00757D04" w:rsidRPr="00B41BFC" w:rsidRDefault="00757D04" w:rsidP="006312D8">
            <w:pPr>
              <w:pStyle w:val="Tablecopy"/>
            </w:pPr>
          </w:p>
        </w:tc>
        <w:tc>
          <w:tcPr>
            <w:tcW w:w="1842" w:type="dxa"/>
          </w:tcPr>
          <w:p w14:paraId="1726A25F" w14:textId="77777777" w:rsidR="00757D04" w:rsidRPr="00A057BE" w:rsidRDefault="00757D04" w:rsidP="006312D8">
            <w:pPr>
              <w:pStyle w:val="Tablecopy"/>
            </w:pPr>
            <w:r>
              <w:t xml:space="preserve">Australian Children’s Television Foundation </w:t>
            </w:r>
          </w:p>
        </w:tc>
        <w:tc>
          <w:tcPr>
            <w:tcW w:w="4111" w:type="dxa"/>
          </w:tcPr>
          <w:p w14:paraId="402FC651" w14:textId="77777777" w:rsidR="00757D04" w:rsidRDefault="00757D04" w:rsidP="006312D8">
            <w:pPr>
              <w:pStyle w:val="Tablecopy"/>
            </w:pPr>
            <w:r w:rsidRPr="00B41BFC">
              <w:t>PDF resource provides learning tasks related to inclusion, identity, relationships and wellbeing. Teachers can click on links to view the recommended short clips on YouTube.</w:t>
            </w:r>
            <w:r>
              <w:t xml:space="preserve"> </w:t>
            </w:r>
          </w:p>
          <w:p w14:paraId="03D7E6EC" w14:textId="77777777" w:rsidR="00757D04" w:rsidRDefault="00757D04" w:rsidP="006312D8">
            <w:pPr>
              <w:pStyle w:val="Tablecopy"/>
            </w:pPr>
            <w:r>
              <w:t>Access to full episodes may require a fee: check with your school/department.</w:t>
            </w:r>
          </w:p>
        </w:tc>
      </w:tr>
      <w:tr w:rsidR="008B40C2" w:rsidRPr="003B0EC7" w14:paraId="1B1AE694" w14:textId="77777777" w:rsidTr="008B40C2">
        <w:tc>
          <w:tcPr>
            <w:tcW w:w="988" w:type="dxa"/>
          </w:tcPr>
          <w:p w14:paraId="22D57B9C" w14:textId="13CB1687" w:rsidR="00757D04" w:rsidRDefault="00757D04" w:rsidP="006312D8">
            <w:pPr>
              <w:pStyle w:val="Tablecopy"/>
            </w:pPr>
            <w:r>
              <w:t xml:space="preserve">Years </w:t>
            </w:r>
            <w:r w:rsidR="00660217">
              <w:br/>
            </w:r>
            <w:r>
              <w:t>7 and 8</w:t>
            </w:r>
          </w:p>
        </w:tc>
        <w:tc>
          <w:tcPr>
            <w:tcW w:w="1417" w:type="dxa"/>
          </w:tcPr>
          <w:p w14:paraId="72F3C82A" w14:textId="77777777" w:rsidR="00757D04" w:rsidRDefault="00757D04" w:rsidP="006312D8">
            <w:pPr>
              <w:pStyle w:val="Tablecopy"/>
            </w:pPr>
            <w:r w:rsidRPr="00A057BE">
              <w:t>Refugees welcome here</w:t>
            </w:r>
          </w:p>
        </w:tc>
        <w:tc>
          <w:tcPr>
            <w:tcW w:w="4394" w:type="dxa"/>
          </w:tcPr>
          <w:p w14:paraId="0D52F1D1" w14:textId="77777777" w:rsidR="00757D04" w:rsidRPr="00A44C81" w:rsidRDefault="00757D04" w:rsidP="006312D8">
            <w:pPr>
              <w:pStyle w:val="Tablecopy"/>
            </w:pPr>
            <w:r w:rsidRPr="00A057BE">
              <w:t>This resource embeds the use of online collaboration tools and 21st century learning skills in a student-</w:t>
            </w:r>
            <w:proofErr w:type="spellStart"/>
            <w:r w:rsidRPr="00A057BE">
              <w:t>centred</w:t>
            </w:r>
            <w:proofErr w:type="spellEnd"/>
            <w:r w:rsidRPr="00A057BE">
              <w:t xml:space="preserve"> hands-on project designed to welcome refugees into their community.</w:t>
            </w:r>
          </w:p>
        </w:tc>
        <w:tc>
          <w:tcPr>
            <w:tcW w:w="2694" w:type="dxa"/>
          </w:tcPr>
          <w:p w14:paraId="42138A76" w14:textId="77777777" w:rsidR="00757D04" w:rsidRPr="00A057BE" w:rsidRDefault="00757D04" w:rsidP="006312D8">
            <w:pPr>
              <w:pStyle w:val="Tablecopy"/>
            </w:pPr>
            <w:r w:rsidRPr="00A057BE">
              <w:t>Scootle: ID M021183</w:t>
            </w:r>
          </w:p>
          <w:p w14:paraId="02B398CD" w14:textId="77777777" w:rsidR="00757D04" w:rsidRPr="006F0287" w:rsidRDefault="00000000" w:rsidP="006312D8">
            <w:pPr>
              <w:pStyle w:val="Tablecopy"/>
              <w:rPr>
                <w:rStyle w:val="Hyperlink"/>
              </w:rPr>
            </w:pPr>
            <w:hyperlink r:id="rId8" w:history="1">
              <w:r w:rsidR="00757D04" w:rsidRPr="006F0287">
                <w:rPr>
                  <w:rStyle w:val="Hyperlink"/>
                </w:rPr>
                <w:t>https://app.education.nsw.gov.au/rap/resource/access/64a855c2-dfda-427f-b5f7-c13437489abb/1</w:t>
              </w:r>
            </w:hyperlink>
            <w:r w:rsidR="00757D04" w:rsidRPr="006F0287">
              <w:rPr>
                <w:rStyle w:val="Hyperlink"/>
              </w:rPr>
              <w:t xml:space="preserve"> </w:t>
            </w:r>
          </w:p>
        </w:tc>
        <w:tc>
          <w:tcPr>
            <w:tcW w:w="1842" w:type="dxa"/>
          </w:tcPr>
          <w:p w14:paraId="3EF9B256" w14:textId="77777777" w:rsidR="00757D04" w:rsidRDefault="00757D04" w:rsidP="006312D8">
            <w:pPr>
              <w:pStyle w:val="Tablecopy"/>
            </w:pPr>
            <w:r w:rsidRPr="00A057BE">
              <w:t>Department of Education</w:t>
            </w:r>
            <w:r>
              <w:t xml:space="preserve"> (New South Wales)</w:t>
            </w:r>
          </w:p>
        </w:tc>
        <w:tc>
          <w:tcPr>
            <w:tcW w:w="4111" w:type="dxa"/>
          </w:tcPr>
          <w:p w14:paraId="0C3B5A20" w14:textId="77777777" w:rsidR="00757D04" w:rsidRDefault="00757D04" w:rsidP="006312D8">
            <w:pPr>
              <w:pStyle w:val="Tablecopy"/>
            </w:pPr>
            <w:r>
              <w:t xml:space="preserve">Scootle log-in required. Use ID </w:t>
            </w:r>
            <w:r w:rsidRPr="00A057BE">
              <w:t>M021183</w:t>
            </w:r>
            <w:r>
              <w:t xml:space="preserve"> in search field to find resource. </w:t>
            </w:r>
          </w:p>
          <w:p w14:paraId="5BFD2FAD" w14:textId="77777777" w:rsidR="00757D04" w:rsidRPr="00A44C81" w:rsidRDefault="00757D04" w:rsidP="006312D8">
            <w:pPr>
              <w:pStyle w:val="Tablecopy"/>
            </w:pPr>
            <w:r w:rsidRPr="00A057BE">
              <w:t>Downloadable resource of sequence of multimedia inquiry activities and resources for students</w:t>
            </w:r>
            <w:r>
              <w:t>.</w:t>
            </w:r>
          </w:p>
        </w:tc>
      </w:tr>
      <w:tr w:rsidR="008B40C2" w:rsidRPr="003B0EC7" w14:paraId="3CCD418A" w14:textId="77777777" w:rsidTr="008B40C2">
        <w:tc>
          <w:tcPr>
            <w:tcW w:w="988" w:type="dxa"/>
          </w:tcPr>
          <w:p w14:paraId="720C705D" w14:textId="712BF402" w:rsidR="00757D04" w:rsidRPr="00983899" w:rsidRDefault="00757D04" w:rsidP="006312D8">
            <w:pPr>
              <w:pStyle w:val="Tablecopy"/>
            </w:pPr>
            <w:r w:rsidRPr="00983899">
              <w:t xml:space="preserve">Years </w:t>
            </w:r>
            <w:r w:rsidR="00660217">
              <w:br/>
            </w:r>
            <w:r w:rsidRPr="00983899">
              <w:t xml:space="preserve">7 and 8 </w:t>
            </w:r>
          </w:p>
        </w:tc>
        <w:tc>
          <w:tcPr>
            <w:tcW w:w="1417" w:type="dxa"/>
          </w:tcPr>
          <w:p w14:paraId="623F8D41" w14:textId="77777777" w:rsidR="00757D04" w:rsidRPr="00983899" w:rsidRDefault="00757D04" w:rsidP="006312D8">
            <w:pPr>
              <w:pStyle w:val="Tablecopy"/>
            </w:pPr>
            <w:r w:rsidRPr="00983899">
              <w:t>Respect Program</w:t>
            </w:r>
            <w:r>
              <w:t xml:space="preserve"> – Promoting inclusion </w:t>
            </w:r>
          </w:p>
        </w:tc>
        <w:tc>
          <w:tcPr>
            <w:tcW w:w="4394" w:type="dxa"/>
          </w:tcPr>
          <w:p w14:paraId="3B1ADEFD" w14:textId="77777777" w:rsidR="00757D04" w:rsidRPr="00983899" w:rsidRDefault="00757D04" w:rsidP="006312D8">
            <w:pPr>
              <w:pStyle w:val="Tablecopy"/>
            </w:pPr>
            <w:r w:rsidRPr="00983899">
              <w:t>Students examine how respectful values and beliefs about diversity underpin the building of community.</w:t>
            </w:r>
          </w:p>
        </w:tc>
        <w:tc>
          <w:tcPr>
            <w:tcW w:w="2694" w:type="dxa"/>
          </w:tcPr>
          <w:p w14:paraId="10E96ABA" w14:textId="77777777" w:rsidR="00757D04" w:rsidRPr="00983899" w:rsidRDefault="00757D04" w:rsidP="006312D8">
            <w:pPr>
              <w:pStyle w:val="Tablecopy"/>
            </w:pPr>
            <w:r w:rsidRPr="00983899">
              <w:t>Scootle: ID</w:t>
            </w:r>
            <w:r w:rsidRPr="00983899">
              <w:rPr>
                <w:b/>
                <w:bCs/>
              </w:rPr>
              <w:t xml:space="preserve"> </w:t>
            </w:r>
            <w:r w:rsidRPr="00983899">
              <w:t>A002430</w:t>
            </w:r>
          </w:p>
          <w:p w14:paraId="65B01ABD" w14:textId="77777777" w:rsidR="00757D04" w:rsidRPr="006F0287" w:rsidRDefault="00000000" w:rsidP="006312D8">
            <w:pPr>
              <w:pStyle w:val="Tablecopy"/>
              <w:rPr>
                <w:rStyle w:val="Hyperlink"/>
              </w:rPr>
            </w:pPr>
            <w:hyperlink r:id="rId9" w:history="1">
              <w:r w:rsidR="00757D04" w:rsidRPr="006F0287">
                <w:rPr>
                  <w:rStyle w:val="Hyperlink"/>
                </w:rPr>
                <w:t>https://www.scootle.edu.au/ec/viewing/A002430/docs/years_7-8/Respect_Y07-08_LS_T2-B.pdf</w:t>
              </w:r>
            </w:hyperlink>
            <w:r w:rsidR="00757D04" w:rsidRPr="006F0287">
              <w:rPr>
                <w:rStyle w:val="Hyperlink"/>
              </w:rPr>
              <w:t xml:space="preserve"> </w:t>
            </w:r>
          </w:p>
        </w:tc>
        <w:tc>
          <w:tcPr>
            <w:tcW w:w="1842" w:type="dxa"/>
          </w:tcPr>
          <w:p w14:paraId="2FFEB534" w14:textId="77777777" w:rsidR="00757D04" w:rsidRDefault="00757D04" w:rsidP="006312D8">
            <w:pPr>
              <w:pStyle w:val="Tablecopy"/>
            </w:pPr>
            <w:r w:rsidRPr="00983899">
              <w:t>Department of Education (Queensland)</w:t>
            </w:r>
          </w:p>
        </w:tc>
        <w:tc>
          <w:tcPr>
            <w:tcW w:w="4111" w:type="dxa"/>
          </w:tcPr>
          <w:p w14:paraId="597A5EFC" w14:textId="77777777" w:rsidR="00757D04" w:rsidRDefault="00757D04" w:rsidP="006312D8">
            <w:pPr>
              <w:pStyle w:val="Tablecopy"/>
            </w:pPr>
            <w:r>
              <w:t xml:space="preserve">Scootle log-in required. Use ID </w:t>
            </w:r>
            <w:r w:rsidRPr="00983899">
              <w:t>A002430</w:t>
            </w:r>
            <w:r>
              <w:t xml:space="preserve"> in search field to find resource.</w:t>
            </w:r>
          </w:p>
          <w:p w14:paraId="469AD43F" w14:textId="77777777" w:rsidR="00757D04" w:rsidRDefault="00757D04" w:rsidP="006312D8">
            <w:pPr>
              <w:pStyle w:val="Tablecopy"/>
            </w:pPr>
            <w:r w:rsidRPr="0009529E">
              <w:t xml:space="preserve">Downloadable </w:t>
            </w:r>
            <w:r>
              <w:t xml:space="preserve">teaching and learning </w:t>
            </w:r>
            <w:r w:rsidRPr="0009529E">
              <w:t>resource</w:t>
            </w:r>
            <w:r>
              <w:t>s.</w:t>
            </w:r>
          </w:p>
        </w:tc>
      </w:tr>
      <w:tr w:rsidR="008B40C2" w:rsidRPr="003B0EC7" w14:paraId="7C1C01F8" w14:textId="77777777" w:rsidTr="008B40C2">
        <w:tc>
          <w:tcPr>
            <w:tcW w:w="988" w:type="dxa"/>
          </w:tcPr>
          <w:p w14:paraId="29581E01" w14:textId="3E3CEF0E" w:rsidR="00757D04" w:rsidRDefault="00757D04" w:rsidP="006312D8">
            <w:pPr>
              <w:pStyle w:val="Tablecopy"/>
            </w:pPr>
            <w:r>
              <w:t xml:space="preserve">Years </w:t>
            </w:r>
            <w:r w:rsidR="00660217">
              <w:br/>
            </w:r>
            <w:r>
              <w:t>7 and 8</w:t>
            </w:r>
          </w:p>
        </w:tc>
        <w:tc>
          <w:tcPr>
            <w:tcW w:w="1417" w:type="dxa"/>
          </w:tcPr>
          <w:p w14:paraId="3483E228" w14:textId="47FAD804" w:rsidR="00757D04" w:rsidRDefault="00757D04" w:rsidP="006312D8">
            <w:pPr>
              <w:pStyle w:val="Tablecopy"/>
            </w:pPr>
            <w:r w:rsidRPr="000310C5">
              <w:t xml:space="preserve">Generations </w:t>
            </w:r>
            <w:r w:rsidR="006F0287">
              <w:t>–</w:t>
            </w:r>
            <w:r w:rsidRPr="000310C5">
              <w:t xml:space="preserve"> C2C HPE unit</w:t>
            </w:r>
          </w:p>
        </w:tc>
        <w:tc>
          <w:tcPr>
            <w:tcW w:w="4394" w:type="dxa"/>
          </w:tcPr>
          <w:p w14:paraId="4287F18C" w14:textId="77777777" w:rsidR="00757D04" w:rsidRPr="00A44C81" w:rsidRDefault="00757D04" w:rsidP="006312D8">
            <w:pPr>
              <w:pStyle w:val="Tablecopy"/>
            </w:pPr>
            <w:r w:rsidRPr="000310C5">
              <w:t xml:space="preserve">In this unit, students identify what defines a family and how they are structured. They examine how different generations vary in their social and cultural values and experiences. They explore how to build and promote </w:t>
            </w:r>
            <w:r w:rsidRPr="00B435E4">
              <w:t>connections</w:t>
            </w:r>
            <w:r w:rsidRPr="000310C5">
              <w:t xml:space="preserve"> and respectful relationships within family.</w:t>
            </w:r>
          </w:p>
        </w:tc>
        <w:tc>
          <w:tcPr>
            <w:tcW w:w="2694" w:type="dxa"/>
          </w:tcPr>
          <w:p w14:paraId="744A599A" w14:textId="77777777" w:rsidR="00757D04" w:rsidRPr="000310C5" w:rsidRDefault="00757D04" w:rsidP="006312D8">
            <w:pPr>
              <w:pStyle w:val="Tablecopy"/>
            </w:pPr>
            <w:r w:rsidRPr="000310C5">
              <w:t>Scootle: ID S7690</w:t>
            </w:r>
          </w:p>
          <w:p w14:paraId="635C6FAA" w14:textId="753FF0B8" w:rsidR="00757D04" w:rsidRPr="006F0287" w:rsidRDefault="00000000" w:rsidP="006312D8">
            <w:pPr>
              <w:pStyle w:val="Tablecopy"/>
              <w:rPr>
                <w:rStyle w:val="Hyperlink"/>
              </w:rPr>
            </w:pPr>
            <w:hyperlink r:id="rId10" w:history="1">
              <w:r w:rsidR="006F0287" w:rsidRPr="006F0287">
                <w:rPr>
                  <w:rStyle w:val="Hyperlink"/>
                </w:rPr>
                <w:t>https://www.scootle.edu.au/ec/viewing/S7690/S7690_PS4Y007_generations/index.html</w:t>
              </w:r>
            </w:hyperlink>
          </w:p>
        </w:tc>
        <w:tc>
          <w:tcPr>
            <w:tcW w:w="1842" w:type="dxa"/>
          </w:tcPr>
          <w:p w14:paraId="6C34BD5F" w14:textId="77777777" w:rsidR="00757D04" w:rsidRDefault="00757D04" w:rsidP="006312D8">
            <w:pPr>
              <w:pStyle w:val="Tablecopy"/>
            </w:pPr>
            <w:r>
              <w:t xml:space="preserve">Department of Education (Queensland); </w:t>
            </w:r>
            <w:r w:rsidRPr="000310C5">
              <w:t>Education Services Australia</w:t>
            </w:r>
          </w:p>
        </w:tc>
        <w:tc>
          <w:tcPr>
            <w:tcW w:w="4111" w:type="dxa"/>
          </w:tcPr>
          <w:p w14:paraId="3E51E5F0" w14:textId="77777777" w:rsidR="00757D04" w:rsidRDefault="00757D04" w:rsidP="006312D8">
            <w:pPr>
              <w:pStyle w:val="Tablecopy"/>
            </w:pPr>
            <w:r>
              <w:t xml:space="preserve">Scootle log-in required. Use ID </w:t>
            </w:r>
            <w:r w:rsidRPr="000310C5">
              <w:t>S7690</w:t>
            </w:r>
            <w:r>
              <w:t xml:space="preserve"> in search field to find resource.</w:t>
            </w:r>
          </w:p>
          <w:p w14:paraId="66EF0EEA" w14:textId="77777777" w:rsidR="00757D04" w:rsidRPr="00A44C81" w:rsidRDefault="00757D04" w:rsidP="006312D8">
            <w:pPr>
              <w:pStyle w:val="Tablecopy"/>
            </w:pPr>
            <w:r>
              <w:t>Downloadable</w:t>
            </w:r>
            <w:r w:rsidRPr="000310C5">
              <w:t xml:space="preserve"> unit plan, topic outlines, a</w:t>
            </w:r>
            <w:r>
              <w:t>nd</w:t>
            </w:r>
            <w:r w:rsidRPr="000310C5">
              <w:t xml:space="preserve"> video to help teachers unpack the content, resources, teacher notes</w:t>
            </w:r>
            <w:r>
              <w:t>.</w:t>
            </w:r>
          </w:p>
        </w:tc>
      </w:tr>
      <w:tr w:rsidR="008B40C2" w:rsidRPr="003B0EC7" w14:paraId="08509AF7" w14:textId="77777777" w:rsidTr="008B40C2">
        <w:tc>
          <w:tcPr>
            <w:tcW w:w="988" w:type="dxa"/>
          </w:tcPr>
          <w:p w14:paraId="59847490" w14:textId="42ABCF84" w:rsidR="00757D04" w:rsidRDefault="00757D04" w:rsidP="006312D8">
            <w:pPr>
              <w:pStyle w:val="Tablecopy"/>
            </w:pPr>
            <w:r>
              <w:t xml:space="preserve">Years </w:t>
            </w:r>
            <w:r w:rsidR="00660217">
              <w:br/>
            </w:r>
            <w:r>
              <w:t>7 to 9</w:t>
            </w:r>
          </w:p>
        </w:tc>
        <w:tc>
          <w:tcPr>
            <w:tcW w:w="1417" w:type="dxa"/>
          </w:tcPr>
          <w:p w14:paraId="4978A0B0" w14:textId="77777777" w:rsidR="00757D04" w:rsidRPr="000310C5" w:rsidRDefault="00757D04" w:rsidP="006312D8">
            <w:pPr>
              <w:pStyle w:val="Tablecopy"/>
            </w:pPr>
            <w:r>
              <w:t xml:space="preserve">Start of school jitters – time capsule </w:t>
            </w:r>
          </w:p>
        </w:tc>
        <w:tc>
          <w:tcPr>
            <w:tcW w:w="4394" w:type="dxa"/>
          </w:tcPr>
          <w:p w14:paraId="33B95AC0" w14:textId="77777777" w:rsidR="00757D04" w:rsidRPr="000310C5" w:rsidRDefault="00757D04" w:rsidP="006312D8">
            <w:pPr>
              <w:pStyle w:val="Tablecopy"/>
            </w:pPr>
            <w:r w:rsidRPr="00B25189">
              <w:t>Use this activity during a transition time for students – whether it is moving from primary into secondary school or when students are working with an unfamiliar cohort of students.</w:t>
            </w:r>
          </w:p>
        </w:tc>
        <w:tc>
          <w:tcPr>
            <w:tcW w:w="2694" w:type="dxa"/>
          </w:tcPr>
          <w:p w14:paraId="68DB5748" w14:textId="77777777" w:rsidR="00757D04" w:rsidRPr="006F0287" w:rsidRDefault="00000000" w:rsidP="006312D8">
            <w:pPr>
              <w:pStyle w:val="Tablecopy"/>
              <w:rPr>
                <w:rStyle w:val="Hyperlink"/>
              </w:rPr>
            </w:pPr>
            <w:hyperlink r:id="rId11" w:history="1">
              <w:r w:rsidR="00757D04" w:rsidRPr="006F0287">
                <w:rPr>
                  <w:rStyle w:val="Hyperlink"/>
                </w:rPr>
                <w:t>https://studentwellbeinghub.edu.au/educators/resources/start-of-school-jitters-time-capsule/</w:t>
              </w:r>
            </w:hyperlink>
            <w:r w:rsidR="00757D04" w:rsidRPr="006F0287">
              <w:rPr>
                <w:rStyle w:val="Hyperlink"/>
              </w:rPr>
              <w:t xml:space="preserve"> </w:t>
            </w:r>
          </w:p>
        </w:tc>
        <w:tc>
          <w:tcPr>
            <w:tcW w:w="1842" w:type="dxa"/>
          </w:tcPr>
          <w:p w14:paraId="41B055B3" w14:textId="77777777" w:rsidR="00757D04" w:rsidRPr="0009529E" w:rsidRDefault="00757D04" w:rsidP="006312D8">
            <w:pPr>
              <w:pStyle w:val="Tablecopy"/>
            </w:pPr>
            <w:r>
              <w:t>Student Wellbeing Hub</w:t>
            </w:r>
          </w:p>
        </w:tc>
        <w:tc>
          <w:tcPr>
            <w:tcW w:w="4111" w:type="dxa"/>
          </w:tcPr>
          <w:p w14:paraId="24D48720" w14:textId="77777777" w:rsidR="00757D04" w:rsidRDefault="00757D04" w:rsidP="006312D8">
            <w:pPr>
              <w:pStyle w:val="Tablecopy"/>
            </w:pPr>
            <w:r w:rsidRPr="0009529E">
              <w:t xml:space="preserve">Downloadable </w:t>
            </w:r>
            <w:r>
              <w:t xml:space="preserve">teaching and learning </w:t>
            </w:r>
            <w:r w:rsidRPr="0009529E">
              <w:t>resource</w:t>
            </w:r>
            <w:r>
              <w:t>s.</w:t>
            </w:r>
          </w:p>
        </w:tc>
      </w:tr>
      <w:tr w:rsidR="008B40C2" w:rsidRPr="003B0EC7" w14:paraId="12F0833D" w14:textId="77777777" w:rsidTr="008B40C2">
        <w:tc>
          <w:tcPr>
            <w:tcW w:w="988" w:type="dxa"/>
          </w:tcPr>
          <w:p w14:paraId="17559C06" w14:textId="4EBD2B4C" w:rsidR="00757D04" w:rsidRDefault="00757D04" w:rsidP="006312D8">
            <w:pPr>
              <w:pStyle w:val="Tablecopy"/>
            </w:pPr>
            <w:r>
              <w:t xml:space="preserve">Years </w:t>
            </w:r>
            <w:r w:rsidR="00660217">
              <w:br/>
            </w:r>
            <w:r>
              <w:t>7 to 9</w:t>
            </w:r>
          </w:p>
        </w:tc>
        <w:tc>
          <w:tcPr>
            <w:tcW w:w="1417" w:type="dxa"/>
          </w:tcPr>
          <w:p w14:paraId="4A4F3EB0" w14:textId="77777777" w:rsidR="00757D04" w:rsidRDefault="00757D04" w:rsidP="006312D8">
            <w:pPr>
              <w:pStyle w:val="Tablecopy"/>
            </w:pPr>
            <w:r>
              <w:t xml:space="preserve">Autism resources for adolescents </w:t>
            </w:r>
          </w:p>
        </w:tc>
        <w:tc>
          <w:tcPr>
            <w:tcW w:w="4394" w:type="dxa"/>
          </w:tcPr>
          <w:p w14:paraId="5D24BBBB" w14:textId="77777777" w:rsidR="00757D04" w:rsidRPr="00B25189" w:rsidRDefault="00757D04" w:rsidP="006312D8">
            <w:pPr>
              <w:pStyle w:val="Tablecopy"/>
            </w:pPr>
            <w:r w:rsidRPr="002260BF">
              <w:t xml:space="preserve">This website provides information and resources for parents, teachers and the community to support adolescents on the autism spectrum </w:t>
            </w:r>
            <w:r>
              <w:t xml:space="preserve">to </w:t>
            </w:r>
            <w:r w:rsidRPr="002260BF">
              <w:t>build a sense of connectedness and belonging.</w:t>
            </w:r>
          </w:p>
        </w:tc>
        <w:tc>
          <w:tcPr>
            <w:tcW w:w="2694" w:type="dxa"/>
          </w:tcPr>
          <w:p w14:paraId="6542CDF2" w14:textId="77777777" w:rsidR="00757D04" w:rsidRPr="006F0287" w:rsidRDefault="00000000" w:rsidP="006312D8">
            <w:pPr>
              <w:pStyle w:val="Tablecopy"/>
              <w:rPr>
                <w:rStyle w:val="Hyperlink"/>
              </w:rPr>
            </w:pPr>
            <w:hyperlink r:id="rId12" w:history="1">
              <w:r w:rsidR="00757D04" w:rsidRPr="006F0287">
                <w:rPr>
                  <w:rStyle w:val="Hyperlink"/>
                </w:rPr>
                <w:t>https://studentwellbeinghub.edu.au/educators/resources/autism-resources-for-adolescents/</w:t>
              </w:r>
            </w:hyperlink>
            <w:r w:rsidR="00757D04" w:rsidRPr="006F0287">
              <w:rPr>
                <w:rStyle w:val="Hyperlink"/>
              </w:rPr>
              <w:t xml:space="preserve"> </w:t>
            </w:r>
          </w:p>
        </w:tc>
        <w:tc>
          <w:tcPr>
            <w:tcW w:w="1842" w:type="dxa"/>
          </w:tcPr>
          <w:p w14:paraId="4EE3B506" w14:textId="77777777" w:rsidR="00757D04" w:rsidRDefault="00757D04" w:rsidP="006312D8">
            <w:pPr>
              <w:pStyle w:val="Tablecopy"/>
            </w:pPr>
            <w:r>
              <w:t>Student Wellbeing Hub</w:t>
            </w:r>
          </w:p>
        </w:tc>
        <w:tc>
          <w:tcPr>
            <w:tcW w:w="4111" w:type="dxa"/>
          </w:tcPr>
          <w:p w14:paraId="10A4878A" w14:textId="77777777" w:rsidR="00757D04" w:rsidRDefault="00757D04" w:rsidP="006312D8">
            <w:pPr>
              <w:pStyle w:val="Tablecopy"/>
            </w:pPr>
            <w:r>
              <w:t>Professional reading and strategies for teachers and support staff.</w:t>
            </w:r>
          </w:p>
        </w:tc>
      </w:tr>
      <w:tr w:rsidR="008B40C2" w:rsidRPr="003B0EC7" w14:paraId="56FF347F" w14:textId="77777777" w:rsidTr="008B40C2">
        <w:tc>
          <w:tcPr>
            <w:tcW w:w="988" w:type="dxa"/>
          </w:tcPr>
          <w:p w14:paraId="2FE7874A" w14:textId="4A32E0B9" w:rsidR="00757D04" w:rsidRDefault="00757D04" w:rsidP="006312D8">
            <w:pPr>
              <w:pStyle w:val="Tablecopy"/>
            </w:pPr>
            <w:r>
              <w:t xml:space="preserve">Years </w:t>
            </w:r>
            <w:r w:rsidR="00660217">
              <w:br/>
            </w:r>
            <w:r>
              <w:t>7 to 10</w:t>
            </w:r>
          </w:p>
        </w:tc>
        <w:tc>
          <w:tcPr>
            <w:tcW w:w="1417" w:type="dxa"/>
          </w:tcPr>
          <w:p w14:paraId="603DEA56" w14:textId="77777777" w:rsidR="00757D04" w:rsidRDefault="00757D04" w:rsidP="006312D8">
            <w:pPr>
              <w:pStyle w:val="Tablecopy"/>
            </w:pPr>
            <w:r w:rsidRPr="00B41BFC">
              <w:t xml:space="preserve">First Day Series 2 </w:t>
            </w:r>
          </w:p>
        </w:tc>
        <w:tc>
          <w:tcPr>
            <w:tcW w:w="4394" w:type="dxa"/>
          </w:tcPr>
          <w:p w14:paraId="4253D7E2" w14:textId="77777777" w:rsidR="00757D04" w:rsidRPr="002260BF" w:rsidRDefault="00757D04" w:rsidP="006312D8">
            <w:pPr>
              <w:pStyle w:val="Tablecopy"/>
            </w:pPr>
            <w:r w:rsidRPr="00B41BFC">
              <w:t xml:space="preserve">This series follows Hannah, a transgender girl in high school. Hannah advocates for changes that will create a more inclusive school for all students, including her LGBTQIA+ peers. Tasks in the resource build knowledge and skills for inclusive </w:t>
            </w:r>
            <w:proofErr w:type="spellStart"/>
            <w:r w:rsidRPr="00B41BFC">
              <w:t>behaviours</w:t>
            </w:r>
            <w:proofErr w:type="spellEnd"/>
            <w:r w:rsidRPr="00B41BFC">
              <w:t xml:space="preserve">. </w:t>
            </w:r>
          </w:p>
        </w:tc>
        <w:tc>
          <w:tcPr>
            <w:tcW w:w="2694" w:type="dxa"/>
          </w:tcPr>
          <w:p w14:paraId="258DCF7F" w14:textId="77777777" w:rsidR="00757D04" w:rsidRPr="00660217" w:rsidRDefault="00000000" w:rsidP="006312D8">
            <w:pPr>
              <w:pStyle w:val="Tablecopy"/>
              <w:rPr>
                <w:rStyle w:val="Hyperlink"/>
              </w:rPr>
            </w:pPr>
            <w:hyperlink r:id="rId13" w:history="1">
              <w:r w:rsidR="00757D04" w:rsidRPr="00660217">
                <w:rPr>
                  <w:rStyle w:val="Hyperlink"/>
                </w:rPr>
                <w:t>https://actf.com.au/education/first-day-s2-resource/about-this-resource</w:t>
              </w:r>
            </w:hyperlink>
          </w:p>
          <w:p w14:paraId="4C5DFF2C" w14:textId="77777777" w:rsidR="00757D04" w:rsidRPr="0087249B" w:rsidRDefault="00757D04" w:rsidP="006312D8">
            <w:pPr>
              <w:pStyle w:val="Tablecopy"/>
            </w:pPr>
          </w:p>
        </w:tc>
        <w:tc>
          <w:tcPr>
            <w:tcW w:w="1842" w:type="dxa"/>
          </w:tcPr>
          <w:p w14:paraId="4D131220" w14:textId="77777777" w:rsidR="00757D04" w:rsidRDefault="00757D04" w:rsidP="006312D8">
            <w:pPr>
              <w:pStyle w:val="Tablecopy"/>
            </w:pPr>
            <w:r>
              <w:t xml:space="preserve">Australian Children’s Television Foundation </w:t>
            </w:r>
          </w:p>
        </w:tc>
        <w:tc>
          <w:tcPr>
            <w:tcW w:w="4111" w:type="dxa"/>
          </w:tcPr>
          <w:p w14:paraId="6FAB38FA" w14:textId="77777777" w:rsidR="00757D04" w:rsidRDefault="00757D04" w:rsidP="006312D8">
            <w:pPr>
              <w:pStyle w:val="Tablecopy"/>
            </w:pPr>
            <w:r w:rsidRPr="00B41BFC">
              <w:t xml:space="preserve">Lesson plans for gender diversity, leadership, allyship, advocacy and media representation. Short clips embedded in the resource. </w:t>
            </w:r>
          </w:p>
          <w:p w14:paraId="16B5C97B" w14:textId="77777777" w:rsidR="00757D04" w:rsidRDefault="00757D04" w:rsidP="006312D8">
            <w:pPr>
              <w:pStyle w:val="Tablecopy"/>
            </w:pPr>
            <w:r>
              <w:t>Access to full episodes may require a fee: check with your school/department.</w:t>
            </w:r>
          </w:p>
        </w:tc>
      </w:tr>
      <w:tr w:rsidR="008B40C2" w:rsidRPr="003B0EC7" w14:paraId="0E8228C0" w14:textId="77777777" w:rsidTr="008B40C2">
        <w:tc>
          <w:tcPr>
            <w:tcW w:w="988" w:type="dxa"/>
          </w:tcPr>
          <w:p w14:paraId="178DCA8D" w14:textId="1CE3E915" w:rsidR="00757D04" w:rsidRDefault="00757D04" w:rsidP="006312D8">
            <w:pPr>
              <w:pStyle w:val="Tablecopy"/>
            </w:pPr>
            <w:r>
              <w:lastRenderedPageBreak/>
              <w:t xml:space="preserve">Years </w:t>
            </w:r>
            <w:r w:rsidR="00660217">
              <w:br/>
            </w:r>
            <w:r>
              <w:t>7 to 10</w:t>
            </w:r>
          </w:p>
        </w:tc>
        <w:tc>
          <w:tcPr>
            <w:tcW w:w="1417" w:type="dxa"/>
          </w:tcPr>
          <w:p w14:paraId="35A0319B" w14:textId="77777777" w:rsidR="00757D04" w:rsidRDefault="00757D04" w:rsidP="006312D8">
            <w:pPr>
              <w:pStyle w:val="Tablecopy"/>
            </w:pPr>
            <w:r w:rsidRPr="00F04EB1">
              <w:t>Aboriginal Cultural Studies - Reconciliation</w:t>
            </w:r>
          </w:p>
        </w:tc>
        <w:tc>
          <w:tcPr>
            <w:tcW w:w="4394" w:type="dxa"/>
          </w:tcPr>
          <w:p w14:paraId="5D9BCB7E" w14:textId="77777777" w:rsidR="00757D04" w:rsidRPr="00A44C81" w:rsidRDefault="00757D04" w:rsidP="006312D8">
            <w:pPr>
              <w:pStyle w:val="Tablecopy"/>
            </w:pPr>
            <w:r w:rsidRPr="00F04EB1">
              <w:t xml:space="preserve">A resource to support teachers wishing to engage their students in investigations related to reconciliation </w:t>
            </w:r>
            <w:r w:rsidRPr="00284F3D">
              <w:t>and connections to culture.</w:t>
            </w:r>
          </w:p>
        </w:tc>
        <w:tc>
          <w:tcPr>
            <w:tcW w:w="2694" w:type="dxa"/>
          </w:tcPr>
          <w:p w14:paraId="3CDA85DA" w14:textId="77777777" w:rsidR="00757D04" w:rsidRDefault="00757D04" w:rsidP="006312D8">
            <w:pPr>
              <w:pStyle w:val="Tablecopy"/>
            </w:pPr>
            <w:r w:rsidRPr="00F04EB1">
              <w:t>Scootle</w:t>
            </w:r>
            <w:r>
              <w:t>:</w:t>
            </w:r>
            <w:r w:rsidRPr="00F04EB1">
              <w:t xml:space="preserve"> ID S6594</w:t>
            </w:r>
          </w:p>
          <w:p w14:paraId="264DD74F" w14:textId="77777777" w:rsidR="00757D04" w:rsidRPr="00660217" w:rsidRDefault="00000000" w:rsidP="006312D8">
            <w:pPr>
              <w:pStyle w:val="Tablecopy"/>
              <w:rPr>
                <w:rStyle w:val="Hyperlink"/>
              </w:rPr>
            </w:pPr>
            <w:hyperlink r:id="rId14" w:history="1">
              <w:r w:rsidR="00757D04" w:rsidRPr="00660217">
                <w:rPr>
                  <w:rStyle w:val="Hyperlink"/>
                </w:rPr>
                <w:t>https://www.scootle.edu.au/ec/viewing/S6594/ACSReconciliation/index.html</w:t>
              </w:r>
            </w:hyperlink>
          </w:p>
          <w:p w14:paraId="1349C6BF" w14:textId="77777777" w:rsidR="00757D04" w:rsidRPr="00A44C81" w:rsidRDefault="00757D04" w:rsidP="006312D8">
            <w:pPr>
              <w:pStyle w:val="Tablecopy"/>
            </w:pPr>
          </w:p>
        </w:tc>
        <w:tc>
          <w:tcPr>
            <w:tcW w:w="1842" w:type="dxa"/>
          </w:tcPr>
          <w:p w14:paraId="105A4716" w14:textId="77777777" w:rsidR="00757D04" w:rsidRDefault="00757D04" w:rsidP="006312D8">
            <w:pPr>
              <w:pStyle w:val="Tablecopy"/>
            </w:pPr>
            <w:r>
              <w:t>Government of South Australia</w:t>
            </w:r>
          </w:p>
        </w:tc>
        <w:tc>
          <w:tcPr>
            <w:tcW w:w="4111" w:type="dxa"/>
          </w:tcPr>
          <w:p w14:paraId="7265C538" w14:textId="77777777" w:rsidR="00757D04" w:rsidRDefault="00757D04" w:rsidP="006312D8">
            <w:pPr>
              <w:pStyle w:val="Tablecopy"/>
            </w:pPr>
            <w:r>
              <w:t xml:space="preserve">Scootle log-in required. Use ID </w:t>
            </w:r>
            <w:r w:rsidRPr="00F04EB1">
              <w:t>S6594</w:t>
            </w:r>
            <w:r>
              <w:t xml:space="preserve"> in search field to find resource.</w:t>
            </w:r>
          </w:p>
          <w:p w14:paraId="454BF852" w14:textId="77777777" w:rsidR="00757D04" w:rsidRPr="00A44C81" w:rsidRDefault="00757D04" w:rsidP="006312D8">
            <w:pPr>
              <w:pStyle w:val="Tablecopy"/>
            </w:pPr>
            <w:r>
              <w:t>Downloadable teaching notes to support teaching topics such as respectful relationships, community and reconciliation.</w:t>
            </w:r>
          </w:p>
        </w:tc>
      </w:tr>
      <w:tr w:rsidR="008B40C2" w:rsidRPr="003B0EC7" w14:paraId="711787FD" w14:textId="77777777" w:rsidTr="008B40C2">
        <w:tc>
          <w:tcPr>
            <w:tcW w:w="988" w:type="dxa"/>
          </w:tcPr>
          <w:p w14:paraId="326201C0" w14:textId="6E71963B" w:rsidR="00757D04" w:rsidRDefault="00757D04" w:rsidP="006312D8">
            <w:pPr>
              <w:pStyle w:val="Tablecopy"/>
            </w:pPr>
            <w:r>
              <w:t xml:space="preserve">Years </w:t>
            </w:r>
            <w:r w:rsidR="00660217">
              <w:br/>
            </w:r>
            <w:r>
              <w:t>7 to 10</w:t>
            </w:r>
          </w:p>
        </w:tc>
        <w:tc>
          <w:tcPr>
            <w:tcW w:w="1417" w:type="dxa"/>
          </w:tcPr>
          <w:p w14:paraId="74E9FED5" w14:textId="77777777" w:rsidR="00757D04" w:rsidRPr="0009529E" w:rsidRDefault="00757D04" w:rsidP="006312D8">
            <w:pPr>
              <w:pStyle w:val="Tablecopy"/>
            </w:pPr>
            <w:r>
              <w:t>Dust Echoes</w:t>
            </w:r>
          </w:p>
        </w:tc>
        <w:tc>
          <w:tcPr>
            <w:tcW w:w="4394" w:type="dxa"/>
          </w:tcPr>
          <w:p w14:paraId="4FE23AA6" w14:textId="77777777" w:rsidR="00757D04" w:rsidRPr="0009529E" w:rsidRDefault="00757D04" w:rsidP="006312D8">
            <w:pPr>
              <w:pStyle w:val="Tablecopy"/>
            </w:pPr>
            <w:r w:rsidRPr="009914C4">
              <w:t xml:space="preserve">A series of 12 animated Dreamtime stories from Central Arnhem Land exploring </w:t>
            </w:r>
            <w:r w:rsidRPr="00BE270A">
              <w:t>connections</w:t>
            </w:r>
            <w:r w:rsidRPr="009914C4">
              <w:t xml:space="preserve"> to each other, Country, culture and custom.</w:t>
            </w:r>
          </w:p>
        </w:tc>
        <w:tc>
          <w:tcPr>
            <w:tcW w:w="2694" w:type="dxa"/>
          </w:tcPr>
          <w:p w14:paraId="34F0C327" w14:textId="77777777" w:rsidR="00757D04" w:rsidRPr="00660217" w:rsidRDefault="00000000" w:rsidP="006312D8">
            <w:pPr>
              <w:pStyle w:val="Tablecopy"/>
              <w:rPr>
                <w:rStyle w:val="Hyperlink"/>
              </w:rPr>
            </w:pPr>
            <w:hyperlink r:id="rId15" w:history="1">
              <w:r w:rsidR="00757D04" w:rsidRPr="00660217">
                <w:rPr>
                  <w:rStyle w:val="Hyperlink"/>
                </w:rPr>
                <w:t>https://www.abc.net.au/education/digibooks/dust-echoes/101734324</w:t>
              </w:r>
            </w:hyperlink>
          </w:p>
        </w:tc>
        <w:tc>
          <w:tcPr>
            <w:tcW w:w="1842" w:type="dxa"/>
          </w:tcPr>
          <w:p w14:paraId="137B88A3" w14:textId="77777777" w:rsidR="00757D04" w:rsidRDefault="00757D04" w:rsidP="006312D8">
            <w:pPr>
              <w:pStyle w:val="Tablecopy"/>
            </w:pPr>
            <w:r>
              <w:t>ABC Education</w:t>
            </w:r>
          </w:p>
        </w:tc>
        <w:tc>
          <w:tcPr>
            <w:tcW w:w="4111" w:type="dxa"/>
          </w:tcPr>
          <w:p w14:paraId="0535840D" w14:textId="77777777" w:rsidR="00757D04" w:rsidRPr="0009529E" w:rsidRDefault="00757D04" w:rsidP="006312D8">
            <w:pPr>
              <w:pStyle w:val="Tablecopy"/>
            </w:pPr>
            <w:r>
              <w:t>Stream 12 episodes on ABC and access discussion prompts and study guides.</w:t>
            </w:r>
          </w:p>
        </w:tc>
      </w:tr>
      <w:tr w:rsidR="00B1552F" w:rsidRPr="003B0EC7" w14:paraId="0732DA6D" w14:textId="77777777" w:rsidTr="008B40C2">
        <w:tc>
          <w:tcPr>
            <w:tcW w:w="988" w:type="dxa"/>
          </w:tcPr>
          <w:p w14:paraId="78D123F2" w14:textId="21A104D8" w:rsidR="00B1552F" w:rsidRDefault="00B1552F" w:rsidP="00B1552F">
            <w:pPr>
              <w:pStyle w:val="Tablecopy"/>
            </w:pPr>
            <w:r w:rsidRPr="00B1552F">
              <w:t xml:space="preserve">Years </w:t>
            </w:r>
            <w:r w:rsidRPr="00B1552F">
              <w:br/>
              <w:t xml:space="preserve">7 to 10 </w:t>
            </w:r>
          </w:p>
        </w:tc>
        <w:tc>
          <w:tcPr>
            <w:tcW w:w="1417" w:type="dxa"/>
          </w:tcPr>
          <w:p w14:paraId="0A5D054F" w14:textId="394393CF" w:rsidR="00B1552F" w:rsidRPr="00B1552F" w:rsidRDefault="00B1552F" w:rsidP="00B1552F">
            <w:pPr>
              <w:pStyle w:val="Tablecopy"/>
            </w:pPr>
            <w:r w:rsidRPr="00B1552F">
              <w:t>Anti-bullying units of work</w:t>
            </w:r>
          </w:p>
        </w:tc>
        <w:tc>
          <w:tcPr>
            <w:tcW w:w="4394" w:type="dxa"/>
          </w:tcPr>
          <w:p w14:paraId="2DA16E0F" w14:textId="16526EDE" w:rsidR="00B1552F" w:rsidRPr="009914C4" w:rsidRDefault="00B1552F" w:rsidP="00B1552F">
            <w:pPr>
              <w:pStyle w:val="Tablecopy"/>
            </w:pPr>
            <w:r>
              <w:t xml:space="preserve">Units of work are available for Stage 4 and Stage 5 providing activities that promote respect and appreciation and empathy for others. </w:t>
            </w:r>
          </w:p>
        </w:tc>
        <w:tc>
          <w:tcPr>
            <w:tcW w:w="2694" w:type="dxa"/>
          </w:tcPr>
          <w:p w14:paraId="2507FE6E" w14:textId="400F4443" w:rsidR="00B1552F" w:rsidRPr="00B1552F" w:rsidRDefault="00000000" w:rsidP="00B1552F">
            <w:pPr>
              <w:pStyle w:val="Tablecopy"/>
              <w:rPr>
                <w:rStyle w:val="Hyperlink"/>
              </w:rPr>
            </w:pPr>
            <w:hyperlink r:id="rId16" w:history="1">
              <w:r w:rsidR="00B1552F" w:rsidRPr="00B1552F">
                <w:rPr>
                  <w:rStyle w:val="Hyperlink"/>
                </w:rPr>
                <w:t>https://education.nsw.gov.au/schooling/schooling-initiatives/anti-bullying/educators/antibullying-units-of-work</w:t>
              </w:r>
            </w:hyperlink>
          </w:p>
        </w:tc>
        <w:tc>
          <w:tcPr>
            <w:tcW w:w="1842" w:type="dxa"/>
          </w:tcPr>
          <w:p w14:paraId="3EB898A7" w14:textId="19403A84" w:rsidR="00B1552F" w:rsidRPr="00B1552F" w:rsidRDefault="00B1552F" w:rsidP="00B1552F">
            <w:pPr>
              <w:pStyle w:val="Tablecopy"/>
            </w:pPr>
            <w:r w:rsidRPr="00B1552F">
              <w:t>Department of Education (NSW)</w:t>
            </w:r>
          </w:p>
        </w:tc>
        <w:tc>
          <w:tcPr>
            <w:tcW w:w="4111" w:type="dxa"/>
          </w:tcPr>
          <w:p w14:paraId="4AC51E93" w14:textId="5BFEBDB7" w:rsidR="00B1552F" w:rsidRPr="00B1552F" w:rsidRDefault="00B1552F" w:rsidP="00B1552F">
            <w:pPr>
              <w:pStyle w:val="Tablecopy"/>
            </w:pPr>
            <w:r w:rsidRPr="00B1552F">
              <w:t>Downloadable teaching and learning resources.</w:t>
            </w:r>
          </w:p>
        </w:tc>
      </w:tr>
      <w:tr w:rsidR="00B1552F" w:rsidRPr="003B0EC7" w14:paraId="28E3F464" w14:textId="77777777" w:rsidTr="008B40C2">
        <w:tc>
          <w:tcPr>
            <w:tcW w:w="988" w:type="dxa"/>
          </w:tcPr>
          <w:p w14:paraId="2EC8E7A0" w14:textId="169D39D7" w:rsidR="00B1552F" w:rsidRDefault="00B1552F" w:rsidP="00B1552F">
            <w:pPr>
              <w:pStyle w:val="Tablecopy"/>
            </w:pPr>
            <w:r>
              <w:t xml:space="preserve">Years </w:t>
            </w:r>
            <w:r>
              <w:br/>
              <w:t>7 to 12</w:t>
            </w:r>
          </w:p>
        </w:tc>
        <w:tc>
          <w:tcPr>
            <w:tcW w:w="1417" w:type="dxa"/>
          </w:tcPr>
          <w:p w14:paraId="6C6AC28F" w14:textId="77777777" w:rsidR="00B1552F" w:rsidRPr="003B0EC7" w:rsidRDefault="00B1552F" w:rsidP="00B1552F">
            <w:pPr>
              <w:pStyle w:val="Tablecopy"/>
            </w:pPr>
            <w:r>
              <w:t xml:space="preserve">Young and </w:t>
            </w:r>
            <w:proofErr w:type="spellStart"/>
            <w:r>
              <w:t>eSafe</w:t>
            </w:r>
            <w:proofErr w:type="spellEnd"/>
            <w:r>
              <w:t xml:space="preserve"> -empathy</w:t>
            </w:r>
          </w:p>
          <w:p w14:paraId="56B6D532" w14:textId="77777777" w:rsidR="00B1552F" w:rsidRDefault="00B1552F" w:rsidP="00B1552F">
            <w:pPr>
              <w:pStyle w:val="Tablecopy"/>
            </w:pPr>
          </w:p>
        </w:tc>
        <w:tc>
          <w:tcPr>
            <w:tcW w:w="4394" w:type="dxa"/>
          </w:tcPr>
          <w:p w14:paraId="3F1DB2B6" w14:textId="77777777" w:rsidR="00B1552F" w:rsidRPr="008A0444" w:rsidRDefault="00B1552F" w:rsidP="00B1552F">
            <w:pPr>
              <w:pStyle w:val="Tablecopy"/>
            </w:pPr>
            <w:r w:rsidRPr="00F02131">
              <w:t xml:space="preserve">Short videos and web content designed to help young people create a positive online world and reinforce respectful and responsible online </w:t>
            </w:r>
            <w:proofErr w:type="spellStart"/>
            <w:r w:rsidRPr="00F02131">
              <w:t>behaviour</w:t>
            </w:r>
            <w:proofErr w:type="spellEnd"/>
            <w:r w:rsidRPr="00F02131">
              <w:t>.</w:t>
            </w:r>
          </w:p>
        </w:tc>
        <w:tc>
          <w:tcPr>
            <w:tcW w:w="2694" w:type="dxa"/>
          </w:tcPr>
          <w:p w14:paraId="715DB7E5" w14:textId="77777777" w:rsidR="00B1552F" w:rsidRPr="00660217" w:rsidRDefault="00000000" w:rsidP="00B1552F">
            <w:pPr>
              <w:pStyle w:val="Tablecopy"/>
              <w:rPr>
                <w:rStyle w:val="Hyperlink"/>
              </w:rPr>
            </w:pPr>
            <w:hyperlink r:id="rId17" w:history="1">
              <w:r w:rsidR="00B1552F" w:rsidRPr="00660217">
                <w:rPr>
                  <w:rStyle w:val="Hyperlink"/>
                </w:rPr>
                <w:t>https://www.esafety.gov.au/educators/classroom-resources/young-and-esafe</w:t>
              </w:r>
            </w:hyperlink>
            <w:r w:rsidR="00B1552F" w:rsidRPr="00660217">
              <w:rPr>
                <w:rStyle w:val="Hyperlink"/>
              </w:rPr>
              <w:t xml:space="preserve"> </w:t>
            </w:r>
          </w:p>
        </w:tc>
        <w:tc>
          <w:tcPr>
            <w:tcW w:w="1842" w:type="dxa"/>
          </w:tcPr>
          <w:p w14:paraId="3364CCD8" w14:textId="77777777" w:rsidR="00B1552F" w:rsidRPr="003B0EC7" w:rsidRDefault="00B1552F" w:rsidP="00B1552F">
            <w:pPr>
              <w:pStyle w:val="Tablecopy"/>
            </w:pPr>
            <w:proofErr w:type="spellStart"/>
            <w:r w:rsidRPr="003B0EC7">
              <w:t>eSafety</w:t>
            </w:r>
            <w:proofErr w:type="spellEnd"/>
            <w:r w:rsidRPr="003B0EC7">
              <w:t xml:space="preserve"> Commission</w:t>
            </w:r>
            <w:r>
              <w:t>er</w:t>
            </w:r>
          </w:p>
        </w:tc>
        <w:tc>
          <w:tcPr>
            <w:tcW w:w="4111" w:type="dxa"/>
          </w:tcPr>
          <w:p w14:paraId="3D134FAA" w14:textId="77777777" w:rsidR="00B1552F" w:rsidRPr="00A44C81" w:rsidRDefault="00B1552F" w:rsidP="00B1552F">
            <w:pPr>
              <w:pStyle w:val="Tablecopy"/>
            </w:pPr>
            <w:r w:rsidRPr="003B0EC7">
              <w:t xml:space="preserve">Video libraries and </w:t>
            </w:r>
            <w:r>
              <w:t xml:space="preserve">downloadable </w:t>
            </w:r>
            <w:r w:rsidRPr="003B0EC7">
              <w:t xml:space="preserve">classroom resources for </w:t>
            </w:r>
            <w:r>
              <w:t>secondary.</w:t>
            </w:r>
          </w:p>
        </w:tc>
      </w:tr>
      <w:tr w:rsidR="00B1552F" w:rsidRPr="003B0EC7" w14:paraId="204FAA84" w14:textId="77777777" w:rsidTr="008B40C2">
        <w:trPr>
          <w:trHeight w:val="1356"/>
        </w:trPr>
        <w:tc>
          <w:tcPr>
            <w:tcW w:w="988" w:type="dxa"/>
          </w:tcPr>
          <w:p w14:paraId="4C236CAE" w14:textId="28C0AFDE" w:rsidR="00B1552F" w:rsidRDefault="00B1552F" w:rsidP="00B1552F">
            <w:pPr>
              <w:pStyle w:val="Tablecopy"/>
            </w:pPr>
            <w:r>
              <w:t xml:space="preserve">Years </w:t>
            </w:r>
            <w:r>
              <w:br/>
              <w:t xml:space="preserve">7 to 12 </w:t>
            </w:r>
          </w:p>
        </w:tc>
        <w:tc>
          <w:tcPr>
            <w:tcW w:w="1417" w:type="dxa"/>
          </w:tcPr>
          <w:p w14:paraId="060D2C93" w14:textId="77777777" w:rsidR="00B1552F" w:rsidRPr="00A057BE" w:rsidRDefault="00B1552F" w:rsidP="00B1552F">
            <w:pPr>
              <w:pStyle w:val="Tablecopy"/>
            </w:pPr>
            <w:r>
              <w:t xml:space="preserve">Building a culture of diversity: Module 1 Unit 1 Identity and Belonging </w:t>
            </w:r>
          </w:p>
        </w:tc>
        <w:tc>
          <w:tcPr>
            <w:tcW w:w="4394" w:type="dxa"/>
          </w:tcPr>
          <w:p w14:paraId="4273C351" w14:textId="77777777" w:rsidR="00B1552F" w:rsidRPr="00A057BE" w:rsidRDefault="00B1552F" w:rsidP="00B1552F">
            <w:pPr>
              <w:pStyle w:val="Tablecopy"/>
            </w:pPr>
            <w:r w:rsidRPr="004B6957">
              <w:t xml:space="preserve">This practical teaching and learning resource </w:t>
            </w:r>
            <w:proofErr w:type="gramStart"/>
            <w:r w:rsidRPr="004B6957">
              <w:t>provides</w:t>
            </w:r>
            <w:proofErr w:type="gramEnd"/>
            <w:r w:rsidRPr="004B6957">
              <w:t xml:space="preserve"> theme-based modules to broaden student awareness of cultural diversity.</w:t>
            </w:r>
          </w:p>
        </w:tc>
        <w:tc>
          <w:tcPr>
            <w:tcW w:w="2694" w:type="dxa"/>
          </w:tcPr>
          <w:p w14:paraId="6E18D1F1" w14:textId="77777777" w:rsidR="00B1552F" w:rsidRPr="00660217" w:rsidRDefault="00000000" w:rsidP="00B1552F">
            <w:pPr>
              <w:pStyle w:val="Tablecopy"/>
              <w:rPr>
                <w:rStyle w:val="Hyperlink"/>
              </w:rPr>
            </w:pPr>
            <w:hyperlink r:id="rId18" w:history="1">
              <w:r w:rsidR="00B1552F" w:rsidRPr="00660217">
                <w:rPr>
                  <w:rStyle w:val="Hyperlink"/>
                </w:rPr>
                <w:t>https://studentwellbeinghub.edu.au/educators/resources/building-a-culture-of-diversity/</w:t>
              </w:r>
            </w:hyperlink>
            <w:r w:rsidR="00B1552F" w:rsidRPr="00660217">
              <w:rPr>
                <w:rStyle w:val="Hyperlink"/>
              </w:rPr>
              <w:t xml:space="preserve"> </w:t>
            </w:r>
          </w:p>
        </w:tc>
        <w:tc>
          <w:tcPr>
            <w:tcW w:w="1842" w:type="dxa"/>
          </w:tcPr>
          <w:p w14:paraId="493AEA62" w14:textId="77777777" w:rsidR="00B1552F" w:rsidRPr="0009529E" w:rsidRDefault="00B1552F" w:rsidP="00B1552F">
            <w:pPr>
              <w:pStyle w:val="Tablecopy"/>
            </w:pPr>
            <w:r>
              <w:t xml:space="preserve">Student Wellbeing Hub; Melbourne University Publishing </w:t>
            </w:r>
          </w:p>
        </w:tc>
        <w:tc>
          <w:tcPr>
            <w:tcW w:w="4111" w:type="dxa"/>
          </w:tcPr>
          <w:p w14:paraId="743E97BA" w14:textId="77777777" w:rsidR="00B1552F" w:rsidRDefault="00B1552F" w:rsidP="00B1552F">
            <w:pPr>
              <w:pStyle w:val="Tablecopy"/>
            </w:pPr>
            <w:r w:rsidRPr="0009529E">
              <w:t xml:space="preserve">Downloadable </w:t>
            </w:r>
            <w:r>
              <w:t xml:space="preserve">teaching and learning </w:t>
            </w:r>
            <w:r w:rsidRPr="0009529E">
              <w:t>resource</w:t>
            </w:r>
            <w:r>
              <w:t>s.</w:t>
            </w:r>
          </w:p>
        </w:tc>
      </w:tr>
      <w:tr w:rsidR="00B1552F" w:rsidRPr="003B0EC7" w14:paraId="09FD85A6" w14:textId="77777777" w:rsidTr="008B40C2">
        <w:tc>
          <w:tcPr>
            <w:tcW w:w="988" w:type="dxa"/>
          </w:tcPr>
          <w:p w14:paraId="2B4D4BD1" w14:textId="0327AB6C" w:rsidR="00B1552F" w:rsidRDefault="00B1552F" w:rsidP="00B1552F">
            <w:pPr>
              <w:pStyle w:val="Tablecopy"/>
            </w:pPr>
            <w:r>
              <w:t xml:space="preserve">Years </w:t>
            </w:r>
            <w:r>
              <w:br/>
              <w:t>7 to 12</w:t>
            </w:r>
          </w:p>
        </w:tc>
        <w:tc>
          <w:tcPr>
            <w:tcW w:w="1417" w:type="dxa"/>
          </w:tcPr>
          <w:p w14:paraId="4F625DCD" w14:textId="77777777" w:rsidR="00B1552F" w:rsidRPr="00813773" w:rsidRDefault="00B1552F" w:rsidP="00B1552F">
            <w:pPr>
              <w:pStyle w:val="Tablecopy"/>
            </w:pPr>
            <w:r w:rsidRPr="00813773">
              <w:t>Behind the News (BTN) High</w:t>
            </w:r>
          </w:p>
        </w:tc>
        <w:tc>
          <w:tcPr>
            <w:tcW w:w="4394" w:type="dxa"/>
          </w:tcPr>
          <w:p w14:paraId="0BB56940" w14:textId="77777777" w:rsidR="00B1552F" w:rsidRPr="00813773" w:rsidRDefault="00B1552F" w:rsidP="00B1552F">
            <w:pPr>
              <w:pStyle w:val="Tablecopy"/>
            </w:pPr>
            <w:r w:rsidRPr="00813773">
              <w:t xml:space="preserve">Use BTN video clips to explore a variety of topics relevant to young people. </w:t>
            </w:r>
          </w:p>
        </w:tc>
        <w:tc>
          <w:tcPr>
            <w:tcW w:w="2694" w:type="dxa"/>
          </w:tcPr>
          <w:p w14:paraId="499385AE" w14:textId="77777777" w:rsidR="00B1552F" w:rsidRPr="00660217" w:rsidRDefault="00000000" w:rsidP="00B1552F">
            <w:pPr>
              <w:pStyle w:val="Tablecopy"/>
              <w:rPr>
                <w:rStyle w:val="Hyperlink"/>
              </w:rPr>
            </w:pPr>
            <w:hyperlink r:id="rId19" w:history="1">
              <w:r w:rsidR="00B1552F" w:rsidRPr="00660217">
                <w:rPr>
                  <w:rStyle w:val="Hyperlink"/>
                </w:rPr>
                <w:t>https://www.abc.net.au/btn/high</w:t>
              </w:r>
            </w:hyperlink>
            <w:r w:rsidR="00B1552F" w:rsidRPr="00660217">
              <w:rPr>
                <w:rStyle w:val="Hyperlink"/>
              </w:rPr>
              <w:t xml:space="preserve"> </w:t>
            </w:r>
          </w:p>
        </w:tc>
        <w:tc>
          <w:tcPr>
            <w:tcW w:w="1842" w:type="dxa"/>
          </w:tcPr>
          <w:p w14:paraId="3B7C3E5A" w14:textId="77777777" w:rsidR="00B1552F" w:rsidRPr="003420F9" w:rsidRDefault="00B1552F" w:rsidP="00B1552F">
            <w:pPr>
              <w:pStyle w:val="Tablecopy"/>
            </w:pPr>
            <w:r w:rsidRPr="00813773">
              <w:t>ABC Education</w:t>
            </w:r>
          </w:p>
        </w:tc>
        <w:tc>
          <w:tcPr>
            <w:tcW w:w="4111" w:type="dxa"/>
          </w:tcPr>
          <w:p w14:paraId="2870C9E1" w14:textId="77777777" w:rsidR="00B1552F" w:rsidRDefault="00B1552F" w:rsidP="00B1552F">
            <w:pPr>
              <w:pStyle w:val="Tablecopy"/>
            </w:pPr>
            <w:r w:rsidRPr="003420F9">
              <w:t xml:space="preserve">Entire episodes with downloadable </w:t>
            </w:r>
            <w:r>
              <w:t>t</w:t>
            </w:r>
            <w:r w:rsidRPr="003420F9">
              <w:t xml:space="preserve">eacher </w:t>
            </w:r>
            <w:r>
              <w:t>r</w:t>
            </w:r>
            <w:r w:rsidRPr="003420F9">
              <w:t>esources</w:t>
            </w:r>
            <w:r>
              <w:t>. Use the search function to filter or refine.</w:t>
            </w:r>
          </w:p>
        </w:tc>
      </w:tr>
      <w:tr w:rsidR="00B1552F" w:rsidRPr="003B0EC7" w14:paraId="275E8AED" w14:textId="77777777" w:rsidTr="008B40C2">
        <w:tc>
          <w:tcPr>
            <w:tcW w:w="988" w:type="dxa"/>
          </w:tcPr>
          <w:p w14:paraId="5DFCDAAA" w14:textId="23E8048F" w:rsidR="00B1552F" w:rsidRDefault="00B1552F" w:rsidP="00B1552F">
            <w:pPr>
              <w:pStyle w:val="Tablecopy"/>
            </w:pPr>
            <w:r>
              <w:t xml:space="preserve">Years </w:t>
            </w:r>
            <w:r>
              <w:br/>
              <w:t>7 to 12</w:t>
            </w:r>
          </w:p>
        </w:tc>
        <w:tc>
          <w:tcPr>
            <w:tcW w:w="1417" w:type="dxa"/>
          </w:tcPr>
          <w:p w14:paraId="485D8FC9" w14:textId="77777777" w:rsidR="00B1552F" w:rsidRPr="00813773" w:rsidRDefault="00B1552F" w:rsidP="00B1552F">
            <w:pPr>
              <w:pStyle w:val="Tablecopy"/>
            </w:pPr>
            <w:r w:rsidRPr="00813773">
              <w:t xml:space="preserve">Inclusion: Getting to know your students </w:t>
            </w:r>
          </w:p>
        </w:tc>
        <w:tc>
          <w:tcPr>
            <w:tcW w:w="4394" w:type="dxa"/>
          </w:tcPr>
          <w:p w14:paraId="4861FEAA" w14:textId="77777777" w:rsidR="00B1552F" w:rsidRPr="00813773" w:rsidRDefault="00B1552F" w:rsidP="00B1552F">
            <w:pPr>
              <w:pStyle w:val="Tablecopy"/>
            </w:pPr>
            <w:r w:rsidRPr="00813773">
              <w:t>This resource contains a list of possible questions about students' cultures, families and home environments.</w:t>
            </w:r>
          </w:p>
        </w:tc>
        <w:tc>
          <w:tcPr>
            <w:tcW w:w="2694" w:type="dxa"/>
          </w:tcPr>
          <w:p w14:paraId="7273A821" w14:textId="77777777" w:rsidR="00B1552F" w:rsidRPr="00660217" w:rsidRDefault="00000000" w:rsidP="00B1552F">
            <w:pPr>
              <w:pStyle w:val="Tablecopy"/>
              <w:rPr>
                <w:rStyle w:val="Hyperlink"/>
              </w:rPr>
            </w:pPr>
            <w:hyperlink r:id="rId20" w:history="1">
              <w:r w:rsidR="00B1552F" w:rsidRPr="00660217">
                <w:rPr>
                  <w:rStyle w:val="Hyperlink"/>
                </w:rPr>
                <w:t>https://studentwellbeinghub.edu.au/educators/resources/inclusion-getting-to-know-your-students/</w:t>
              </w:r>
            </w:hyperlink>
            <w:r w:rsidR="00B1552F" w:rsidRPr="00660217">
              <w:rPr>
                <w:rStyle w:val="Hyperlink"/>
              </w:rPr>
              <w:t xml:space="preserve"> </w:t>
            </w:r>
          </w:p>
        </w:tc>
        <w:tc>
          <w:tcPr>
            <w:tcW w:w="1842" w:type="dxa"/>
          </w:tcPr>
          <w:p w14:paraId="5A05FB2A" w14:textId="77777777" w:rsidR="00B1552F" w:rsidRPr="0009529E" w:rsidRDefault="00B1552F" w:rsidP="00B1552F">
            <w:pPr>
              <w:pStyle w:val="Tablecopy"/>
            </w:pPr>
            <w:r w:rsidRPr="00813773">
              <w:t>Education Services Australia; Student Wellbeing Hub</w:t>
            </w:r>
          </w:p>
        </w:tc>
        <w:tc>
          <w:tcPr>
            <w:tcW w:w="4111" w:type="dxa"/>
          </w:tcPr>
          <w:p w14:paraId="328159CB" w14:textId="77777777" w:rsidR="00B1552F" w:rsidRPr="00B91053" w:rsidRDefault="00B1552F" w:rsidP="00B1552F">
            <w:pPr>
              <w:pStyle w:val="Tablecopy"/>
            </w:pPr>
            <w:r w:rsidRPr="0009529E">
              <w:t xml:space="preserve">Downloadable </w:t>
            </w:r>
            <w:r>
              <w:t xml:space="preserve">teaching and learning </w:t>
            </w:r>
            <w:r w:rsidRPr="0009529E">
              <w:t>resource</w:t>
            </w:r>
            <w:r>
              <w:t>s.</w:t>
            </w:r>
          </w:p>
        </w:tc>
      </w:tr>
      <w:tr w:rsidR="00B1552F" w:rsidRPr="003B0EC7" w14:paraId="4F9AF8C8" w14:textId="77777777" w:rsidTr="008B40C2">
        <w:trPr>
          <w:trHeight w:val="715"/>
        </w:trPr>
        <w:tc>
          <w:tcPr>
            <w:tcW w:w="988" w:type="dxa"/>
          </w:tcPr>
          <w:p w14:paraId="71047931" w14:textId="1703AFE1" w:rsidR="00B1552F" w:rsidRDefault="00B1552F" w:rsidP="00B1552F">
            <w:pPr>
              <w:pStyle w:val="Tablecopy"/>
            </w:pPr>
            <w:r>
              <w:t xml:space="preserve">Years </w:t>
            </w:r>
            <w:r>
              <w:br/>
              <w:t>7 to 12</w:t>
            </w:r>
          </w:p>
        </w:tc>
        <w:tc>
          <w:tcPr>
            <w:tcW w:w="1417" w:type="dxa"/>
          </w:tcPr>
          <w:p w14:paraId="53AA377F" w14:textId="77777777" w:rsidR="00B1552F" w:rsidRPr="00813773" w:rsidRDefault="00B1552F" w:rsidP="00B1552F">
            <w:pPr>
              <w:pStyle w:val="Tablecopy"/>
            </w:pPr>
            <w:r w:rsidRPr="00813773">
              <w:t>Cultural safety for Aboriginal children</w:t>
            </w:r>
          </w:p>
        </w:tc>
        <w:tc>
          <w:tcPr>
            <w:tcW w:w="4394" w:type="dxa"/>
          </w:tcPr>
          <w:p w14:paraId="441FF627" w14:textId="77777777" w:rsidR="00B1552F" w:rsidRPr="00813773" w:rsidRDefault="00B1552F" w:rsidP="00B1552F">
            <w:pPr>
              <w:pStyle w:val="Tablecopy"/>
            </w:pPr>
            <w:r w:rsidRPr="00813773">
              <w:t>Learn how to create a culturally safe environment for Aboriginal children.</w:t>
            </w:r>
          </w:p>
        </w:tc>
        <w:tc>
          <w:tcPr>
            <w:tcW w:w="2694" w:type="dxa"/>
          </w:tcPr>
          <w:p w14:paraId="1933090B" w14:textId="77777777" w:rsidR="00B1552F" w:rsidRPr="00660217" w:rsidRDefault="00000000" w:rsidP="00B1552F">
            <w:pPr>
              <w:pStyle w:val="Tablecopy"/>
              <w:rPr>
                <w:rStyle w:val="Hyperlink"/>
              </w:rPr>
            </w:pPr>
            <w:hyperlink r:id="rId21" w:history="1">
              <w:r w:rsidR="00B1552F" w:rsidRPr="00660217">
                <w:rPr>
                  <w:rStyle w:val="Hyperlink"/>
                </w:rPr>
                <w:t>https://studentwellbeinghub.edu.au/educators/resources/cultural-safety-for-aboriginal-children/</w:t>
              </w:r>
            </w:hyperlink>
            <w:r w:rsidR="00B1552F" w:rsidRPr="00660217">
              <w:rPr>
                <w:rStyle w:val="Hyperlink"/>
              </w:rPr>
              <w:t xml:space="preserve"> </w:t>
            </w:r>
          </w:p>
        </w:tc>
        <w:tc>
          <w:tcPr>
            <w:tcW w:w="1842" w:type="dxa"/>
          </w:tcPr>
          <w:p w14:paraId="55EE9A6D" w14:textId="77777777" w:rsidR="00B1552F" w:rsidRPr="0009529E" w:rsidRDefault="00B1552F" w:rsidP="00B1552F">
            <w:pPr>
              <w:pStyle w:val="Tablecopy"/>
            </w:pPr>
            <w:r w:rsidRPr="00813773">
              <w:t>Education Services Australia; Student Wellbeing Hub</w:t>
            </w:r>
          </w:p>
        </w:tc>
        <w:tc>
          <w:tcPr>
            <w:tcW w:w="4111" w:type="dxa"/>
          </w:tcPr>
          <w:p w14:paraId="3DA7209D" w14:textId="77777777" w:rsidR="00B1552F" w:rsidRPr="00B91053" w:rsidRDefault="00B1552F" w:rsidP="00B1552F">
            <w:pPr>
              <w:pStyle w:val="Tablecopy"/>
            </w:pPr>
            <w:r w:rsidRPr="0009529E">
              <w:t xml:space="preserve">Downloadable </w:t>
            </w:r>
            <w:r>
              <w:t xml:space="preserve">teaching and learning </w:t>
            </w:r>
            <w:r w:rsidRPr="0009529E">
              <w:t>resource</w:t>
            </w:r>
            <w:r>
              <w:t>s.</w:t>
            </w:r>
          </w:p>
        </w:tc>
      </w:tr>
      <w:tr w:rsidR="00B1552F" w:rsidRPr="003B0EC7" w14:paraId="5C4F6C16" w14:textId="77777777" w:rsidTr="008B40C2">
        <w:tc>
          <w:tcPr>
            <w:tcW w:w="988" w:type="dxa"/>
          </w:tcPr>
          <w:p w14:paraId="0746F105" w14:textId="5C7562B0" w:rsidR="00B1552F" w:rsidRPr="003B0EC7" w:rsidRDefault="00B1552F" w:rsidP="00B1552F">
            <w:pPr>
              <w:pStyle w:val="Tablecopy"/>
            </w:pPr>
            <w:r>
              <w:lastRenderedPageBreak/>
              <w:t xml:space="preserve">Years </w:t>
            </w:r>
            <w:r>
              <w:br/>
              <w:t>7 to 12</w:t>
            </w:r>
          </w:p>
        </w:tc>
        <w:tc>
          <w:tcPr>
            <w:tcW w:w="1417" w:type="dxa"/>
          </w:tcPr>
          <w:p w14:paraId="4798F08F" w14:textId="77777777" w:rsidR="00B1552F" w:rsidRPr="003B0EC7" w:rsidRDefault="00B1552F" w:rsidP="00B1552F">
            <w:pPr>
              <w:pStyle w:val="Tablecopy"/>
            </w:pPr>
            <w:r>
              <w:t xml:space="preserve">Respectful Relationships </w:t>
            </w:r>
          </w:p>
        </w:tc>
        <w:tc>
          <w:tcPr>
            <w:tcW w:w="4394" w:type="dxa"/>
          </w:tcPr>
          <w:p w14:paraId="51516A13" w14:textId="77777777" w:rsidR="00B1552F" w:rsidRPr="003B0EC7" w:rsidRDefault="00B1552F" w:rsidP="00B1552F">
            <w:pPr>
              <w:pStyle w:val="Tablecopy"/>
            </w:pPr>
            <w:r>
              <w:t>Learning materials to develop student social, emotional and positive relationship skills.</w:t>
            </w:r>
          </w:p>
        </w:tc>
        <w:tc>
          <w:tcPr>
            <w:tcW w:w="2694" w:type="dxa"/>
          </w:tcPr>
          <w:p w14:paraId="3B5F49B9" w14:textId="77777777" w:rsidR="00B1552F" w:rsidRPr="00660217" w:rsidRDefault="00000000" w:rsidP="00B1552F">
            <w:pPr>
              <w:pStyle w:val="Tablecopy"/>
              <w:rPr>
                <w:rStyle w:val="Hyperlink"/>
              </w:rPr>
            </w:pPr>
            <w:hyperlink r:id="rId22" w:history="1">
              <w:r w:rsidR="00B1552F" w:rsidRPr="00660217">
                <w:rPr>
                  <w:rStyle w:val="Hyperlink"/>
                </w:rPr>
                <w:t>https://studentwellbeinghub.edu.au/educators/resources/?audience[]=Educators&amp;keywords[]=respectful+relationships</w:t>
              </w:r>
            </w:hyperlink>
            <w:r w:rsidR="00B1552F" w:rsidRPr="00660217">
              <w:rPr>
                <w:rStyle w:val="Hyperlink"/>
              </w:rPr>
              <w:t xml:space="preserve"> </w:t>
            </w:r>
          </w:p>
        </w:tc>
        <w:tc>
          <w:tcPr>
            <w:tcW w:w="1842" w:type="dxa"/>
          </w:tcPr>
          <w:p w14:paraId="519C0A7C" w14:textId="77777777" w:rsidR="00B1552F" w:rsidRPr="0009529E" w:rsidRDefault="00B1552F" w:rsidP="00B1552F">
            <w:pPr>
              <w:pStyle w:val="Tablecopy"/>
            </w:pPr>
            <w:r w:rsidRPr="00925C3B">
              <w:t>Education Services Australia; Student Wellbeing Hub</w:t>
            </w:r>
          </w:p>
        </w:tc>
        <w:tc>
          <w:tcPr>
            <w:tcW w:w="4111" w:type="dxa"/>
          </w:tcPr>
          <w:p w14:paraId="6A4B0D70" w14:textId="77777777" w:rsidR="00B1552F" w:rsidRPr="003B0EC7" w:rsidRDefault="00B1552F" w:rsidP="00B1552F">
            <w:pPr>
              <w:pStyle w:val="Tablecopy"/>
            </w:pPr>
            <w:r w:rsidRPr="0009529E">
              <w:t xml:space="preserve">Downloadable </w:t>
            </w:r>
            <w:r>
              <w:t xml:space="preserve">teaching and learning </w:t>
            </w:r>
            <w:r w:rsidRPr="0009529E">
              <w:t>resource</w:t>
            </w:r>
            <w:r>
              <w:t>s.</w:t>
            </w:r>
          </w:p>
        </w:tc>
      </w:tr>
      <w:tr w:rsidR="00B1552F" w:rsidRPr="003B0EC7" w14:paraId="21FB9DFA" w14:textId="77777777" w:rsidTr="008B40C2">
        <w:tc>
          <w:tcPr>
            <w:tcW w:w="988" w:type="dxa"/>
          </w:tcPr>
          <w:p w14:paraId="6DF25F22" w14:textId="3CD3D428" w:rsidR="00B1552F" w:rsidRDefault="00B1552F" w:rsidP="00B1552F">
            <w:pPr>
              <w:pStyle w:val="Tablecopy"/>
            </w:pPr>
            <w:r w:rsidRPr="00A057BE">
              <w:t xml:space="preserve">Years </w:t>
            </w:r>
            <w:r>
              <w:br/>
            </w:r>
            <w:r w:rsidRPr="00A057BE">
              <w:t>7 to 12</w:t>
            </w:r>
          </w:p>
        </w:tc>
        <w:tc>
          <w:tcPr>
            <w:tcW w:w="1417" w:type="dxa"/>
          </w:tcPr>
          <w:p w14:paraId="06387EB6" w14:textId="77777777" w:rsidR="00B1552F" w:rsidRPr="003B0EC7" w:rsidRDefault="00B1552F" w:rsidP="00B1552F">
            <w:pPr>
              <w:pStyle w:val="Tablecopy"/>
            </w:pPr>
            <w:r w:rsidRPr="00A057BE">
              <w:t>The Australian Dream: Cultural identity</w:t>
            </w:r>
          </w:p>
        </w:tc>
        <w:tc>
          <w:tcPr>
            <w:tcW w:w="4394" w:type="dxa"/>
          </w:tcPr>
          <w:p w14:paraId="4061BA33" w14:textId="77777777" w:rsidR="00B1552F" w:rsidRPr="003B0EC7" w:rsidRDefault="00B1552F" w:rsidP="00B1552F">
            <w:pPr>
              <w:pStyle w:val="Tablecopy"/>
            </w:pPr>
            <w:r w:rsidRPr="00B435E4">
              <w:t xml:space="preserve">Cultural identity gives us a sense of connection and belonging and an understanding of who we are and where we come from. </w:t>
            </w:r>
          </w:p>
        </w:tc>
        <w:tc>
          <w:tcPr>
            <w:tcW w:w="2694" w:type="dxa"/>
          </w:tcPr>
          <w:p w14:paraId="00310535" w14:textId="77777777" w:rsidR="00B1552F" w:rsidRPr="00A057BE" w:rsidRDefault="00B1552F" w:rsidP="00B1552F">
            <w:pPr>
              <w:pStyle w:val="Tablecopy"/>
            </w:pPr>
            <w:r w:rsidRPr="00A057BE">
              <w:t>Scootle: TLF ID M025688</w:t>
            </w:r>
          </w:p>
          <w:p w14:paraId="73A16B16" w14:textId="77777777" w:rsidR="00B1552F" w:rsidRPr="00660217" w:rsidRDefault="00000000" w:rsidP="00B1552F">
            <w:pPr>
              <w:pStyle w:val="Tablecopy"/>
              <w:rPr>
                <w:rStyle w:val="Hyperlink"/>
              </w:rPr>
            </w:pPr>
            <w:hyperlink r:id="rId23" w:history="1">
              <w:r w:rsidR="00B1552F" w:rsidRPr="00660217">
                <w:rPr>
                  <w:rStyle w:val="Hyperlink"/>
                </w:rPr>
                <w:t>https://www.abc.net.au/education/the-australian-dream-cultural-identity/13590960</w:t>
              </w:r>
            </w:hyperlink>
            <w:r w:rsidR="00B1552F" w:rsidRPr="00660217">
              <w:rPr>
                <w:rStyle w:val="Hyperlink"/>
              </w:rPr>
              <w:t xml:space="preserve"> </w:t>
            </w:r>
          </w:p>
        </w:tc>
        <w:tc>
          <w:tcPr>
            <w:tcW w:w="1842" w:type="dxa"/>
          </w:tcPr>
          <w:p w14:paraId="12962AF9" w14:textId="77777777" w:rsidR="00B1552F" w:rsidRDefault="00B1552F" w:rsidP="00B1552F">
            <w:pPr>
              <w:pStyle w:val="Tablecopy"/>
            </w:pPr>
            <w:r w:rsidRPr="00A057BE">
              <w:t>ABC</w:t>
            </w:r>
            <w:r>
              <w:t>;</w:t>
            </w:r>
            <w:r w:rsidRPr="00A057BE">
              <w:t xml:space="preserve"> Education Services Australia</w:t>
            </w:r>
          </w:p>
        </w:tc>
        <w:tc>
          <w:tcPr>
            <w:tcW w:w="4111" w:type="dxa"/>
          </w:tcPr>
          <w:p w14:paraId="25FB5D9D" w14:textId="77777777" w:rsidR="00B1552F" w:rsidRDefault="00B1552F" w:rsidP="00B1552F">
            <w:pPr>
              <w:pStyle w:val="Tablecopy"/>
              <w:rPr>
                <w:rFonts w:ascii="Calibri" w:hAnsi="Calibri" w:cs="Calibri"/>
                <w:color w:val="000000"/>
              </w:rPr>
            </w:pPr>
            <w:r>
              <w:t xml:space="preserve">Scootle log-in required. Use ID </w:t>
            </w:r>
            <w:r w:rsidRPr="003420F9">
              <w:t>M025</w:t>
            </w:r>
            <w:r>
              <w:t>688 in search field to find resource.</w:t>
            </w:r>
          </w:p>
          <w:p w14:paraId="37430AA1" w14:textId="77777777" w:rsidR="00B1552F" w:rsidRPr="003B0EC7" w:rsidRDefault="00B1552F" w:rsidP="00B1552F">
            <w:pPr>
              <w:pStyle w:val="Tablecopy"/>
            </w:pPr>
            <w:r>
              <w:t>6-minute video with teaching</w:t>
            </w:r>
            <w:r w:rsidRPr="00A057BE">
              <w:t xml:space="preserve"> discussion prompts provided</w:t>
            </w:r>
            <w:r>
              <w:t>.</w:t>
            </w:r>
          </w:p>
        </w:tc>
      </w:tr>
      <w:tr w:rsidR="00B1552F" w:rsidRPr="003B0EC7" w14:paraId="6A4B1C26" w14:textId="77777777" w:rsidTr="008B40C2">
        <w:tc>
          <w:tcPr>
            <w:tcW w:w="988" w:type="dxa"/>
          </w:tcPr>
          <w:p w14:paraId="4CE85158" w14:textId="257EE2BE" w:rsidR="00B1552F" w:rsidRPr="003420F9" w:rsidRDefault="00B1552F" w:rsidP="00B1552F">
            <w:pPr>
              <w:pStyle w:val="Tablecopy"/>
            </w:pPr>
            <w:r>
              <w:t xml:space="preserve">Years </w:t>
            </w:r>
            <w:r>
              <w:br/>
              <w:t>7 to 12</w:t>
            </w:r>
          </w:p>
        </w:tc>
        <w:tc>
          <w:tcPr>
            <w:tcW w:w="1417" w:type="dxa"/>
          </w:tcPr>
          <w:p w14:paraId="0785686D" w14:textId="77777777" w:rsidR="00B1552F" w:rsidRPr="003B0EC7" w:rsidRDefault="00B1552F" w:rsidP="00B1552F">
            <w:pPr>
              <w:pStyle w:val="Tablecopy"/>
            </w:pPr>
            <w:r w:rsidRPr="003420F9">
              <w:t>Aboriginal Cultures, Ch 14: Identity, racism and connection</w:t>
            </w:r>
          </w:p>
        </w:tc>
        <w:tc>
          <w:tcPr>
            <w:tcW w:w="4394" w:type="dxa"/>
          </w:tcPr>
          <w:p w14:paraId="2403CDB4" w14:textId="77777777" w:rsidR="00B1552F" w:rsidRPr="005B2707" w:rsidRDefault="00B1552F" w:rsidP="00B1552F">
            <w:pPr>
              <w:pStyle w:val="Tablecopy"/>
            </w:pPr>
            <w:r w:rsidRPr="005B2707">
              <w:t xml:space="preserve">Grace is a Yorta </w:t>
            </w:r>
            <w:proofErr w:type="spellStart"/>
            <w:r w:rsidRPr="005B2707">
              <w:t>Yorta</w:t>
            </w:r>
            <w:proofErr w:type="spellEnd"/>
            <w:r w:rsidRPr="005B2707">
              <w:t xml:space="preserve"> person, and her identity is linked to her connection to places, not how she looks. Other than our physical appearance, what are some other ways we may identify ourselves?</w:t>
            </w:r>
          </w:p>
        </w:tc>
        <w:tc>
          <w:tcPr>
            <w:tcW w:w="2694" w:type="dxa"/>
          </w:tcPr>
          <w:p w14:paraId="40F73D65" w14:textId="77777777" w:rsidR="00B1552F" w:rsidRDefault="00B1552F" w:rsidP="00B1552F">
            <w:pPr>
              <w:pStyle w:val="Tablecopy"/>
            </w:pPr>
            <w:r w:rsidRPr="003420F9">
              <w:t>Scootle: ID M025729</w:t>
            </w:r>
          </w:p>
          <w:p w14:paraId="67FB1EB6" w14:textId="77777777" w:rsidR="00B1552F" w:rsidRPr="00660217" w:rsidRDefault="00000000" w:rsidP="00B1552F">
            <w:pPr>
              <w:pStyle w:val="Tablecopy"/>
              <w:rPr>
                <w:rStyle w:val="Hyperlink"/>
              </w:rPr>
            </w:pPr>
            <w:hyperlink r:id="rId24" w:history="1">
              <w:r w:rsidR="00B1552F" w:rsidRPr="00660217">
                <w:rPr>
                  <w:rStyle w:val="Hyperlink"/>
                </w:rPr>
                <w:t>https://www.abc.net.au/education/identity-racism-and-connection/13500196</w:t>
              </w:r>
            </w:hyperlink>
            <w:r w:rsidR="00B1552F" w:rsidRPr="00660217">
              <w:rPr>
                <w:rStyle w:val="Hyperlink"/>
              </w:rPr>
              <w:t xml:space="preserve"> </w:t>
            </w:r>
          </w:p>
        </w:tc>
        <w:tc>
          <w:tcPr>
            <w:tcW w:w="1842" w:type="dxa"/>
          </w:tcPr>
          <w:p w14:paraId="27D60FD9" w14:textId="77777777" w:rsidR="00B1552F" w:rsidRDefault="00B1552F" w:rsidP="00B1552F">
            <w:pPr>
              <w:pStyle w:val="Tablecopy"/>
            </w:pPr>
            <w:r w:rsidRPr="003420F9">
              <w:t>ABC; Education Services Australia</w:t>
            </w:r>
          </w:p>
        </w:tc>
        <w:tc>
          <w:tcPr>
            <w:tcW w:w="4111" w:type="dxa"/>
          </w:tcPr>
          <w:p w14:paraId="5A2AC89A" w14:textId="77777777" w:rsidR="00B1552F" w:rsidRDefault="00B1552F" w:rsidP="00B1552F">
            <w:pPr>
              <w:pStyle w:val="Tablecopy"/>
              <w:rPr>
                <w:rFonts w:ascii="Calibri" w:hAnsi="Calibri" w:cs="Calibri"/>
                <w:color w:val="000000"/>
              </w:rPr>
            </w:pPr>
            <w:r>
              <w:t xml:space="preserve">Scootle log-in required. Use ID </w:t>
            </w:r>
            <w:r w:rsidRPr="003420F9">
              <w:t>M025729</w:t>
            </w:r>
            <w:r>
              <w:t xml:space="preserve"> in search field to find resource.</w:t>
            </w:r>
          </w:p>
          <w:p w14:paraId="365EB4CE" w14:textId="77777777" w:rsidR="00B1552F" w:rsidRPr="003420F9" w:rsidRDefault="00B1552F" w:rsidP="00B1552F">
            <w:pPr>
              <w:pStyle w:val="Tablecopy"/>
            </w:pPr>
            <w:r>
              <w:t>Short video and classroom discussion prompts.</w:t>
            </w:r>
          </w:p>
        </w:tc>
      </w:tr>
      <w:tr w:rsidR="00B1552F" w:rsidRPr="003B0EC7" w14:paraId="6B24ED04" w14:textId="77777777" w:rsidTr="008B40C2">
        <w:trPr>
          <w:trHeight w:val="70"/>
        </w:trPr>
        <w:tc>
          <w:tcPr>
            <w:tcW w:w="988" w:type="dxa"/>
          </w:tcPr>
          <w:p w14:paraId="5E83CB6C" w14:textId="0FCD4F32" w:rsidR="00B1552F" w:rsidRDefault="00B1552F" w:rsidP="00B1552F">
            <w:pPr>
              <w:pStyle w:val="Tablecopy"/>
            </w:pPr>
            <w:r>
              <w:t xml:space="preserve">Years </w:t>
            </w:r>
            <w:r>
              <w:br/>
              <w:t>9 and 10</w:t>
            </w:r>
          </w:p>
        </w:tc>
        <w:tc>
          <w:tcPr>
            <w:tcW w:w="1417" w:type="dxa"/>
          </w:tcPr>
          <w:p w14:paraId="011FE47A" w14:textId="77777777" w:rsidR="00B1552F" w:rsidRPr="003B0EC7" w:rsidRDefault="00B1552F" w:rsidP="00B1552F">
            <w:pPr>
              <w:pStyle w:val="Tablecopy"/>
            </w:pPr>
            <w:r>
              <w:t>In My Blood It Runs: Connections to Country</w:t>
            </w:r>
          </w:p>
        </w:tc>
        <w:tc>
          <w:tcPr>
            <w:tcW w:w="4394" w:type="dxa"/>
          </w:tcPr>
          <w:p w14:paraId="3F8CC18F" w14:textId="77777777" w:rsidR="00B1552F" w:rsidRPr="003B0EC7" w:rsidRDefault="00B1552F" w:rsidP="00B1552F">
            <w:pPr>
              <w:pStyle w:val="Tablecopy"/>
            </w:pPr>
            <w:r w:rsidRPr="00FA01AD">
              <w:t xml:space="preserve">A contemporary video clip </w:t>
            </w:r>
            <w:r w:rsidRPr="00813773">
              <w:t>exploring connections to</w:t>
            </w:r>
            <w:r w:rsidRPr="00FA01AD">
              <w:t xml:space="preserve"> First Nations culture, spirituality, country and language across generations.</w:t>
            </w:r>
          </w:p>
        </w:tc>
        <w:tc>
          <w:tcPr>
            <w:tcW w:w="2694" w:type="dxa"/>
          </w:tcPr>
          <w:p w14:paraId="15EA6F5B" w14:textId="77777777" w:rsidR="00B1552F" w:rsidRPr="00660217" w:rsidRDefault="00B1552F" w:rsidP="00B1552F">
            <w:pPr>
              <w:pStyle w:val="Tablecopy"/>
              <w:rPr>
                <w:rStyle w:val="Hyperlink"/>
              </w:rPr>
            </w:pPr>
            <w:r w:rsidRPr="00660217">
              <w:rPr>
                <w:rStyle w:val="Hyperlink"/>
              </w:rPr>
              <w:t>Scootle: ID M025856</w:t>
            </w:r>
          </w:p>
          <w:p w14:paraId="5DBEC448" w14:textId="77777777" w:rsidR="00B1552F" w:rsidRPr="00660217" w:rsidRDefault="00000000" w:rsidP="00B1552F">
            <w:pPr>
              <w:pStyle w:val="Tablecopy"/>
              <w:rPr>
                <w:rStyle w:val="Hyperlink"/>
              </w:rPr>
            </w:pPr>
            <w:hyperlink r:id="rId25" w:history="1">
              <w:r w:rsidR="00B1552F" w:rsidRPr="00660217">
                <w:rPr>
                  <w:rStyle w:val="Hyperlink"/>
                </w:rPr>
                <w:t>https://www.abc.net.au/education/in-my-blood-it-runs-connections-to-country/13810318</w:t>
              </w:r>
            </w:hyperlink>
            <w:r w:rsidR="00B1552F" w:rsidRPr="00660217">
              <w:rPr>
                <w:rStyle w:val="Hyperlink"/>
              </w:rPr>
              <w:t xml:space="preserve"> </w:t>
            </w:r>
          </w:p>
        </w:tc>
        <w:tc>
          <w:tcPr>
            <w:tcW w:w="1842" w:type="dxa"/>
          </w:tcPr>
          <w:p w14:paraId="7A7CF045" w14:textId="77777777" w:rsidR="00B1552F" w:rsidRDefault="00B1552F" w:rsidP="00B1552F">
            <w:pPr>
              <w:pStyle w:val="Tablecopy"/>
            </w:pPr>
            <w:r>
              <w:t>ABC Education</w:t>
            </w:r>
          </w:p>
        </w:tc>
        <w:tc>
          <w:tcPr>
            <w:tcW w:w="4111" w:type="dxa"/>
          </w:tcPr>
          <w:p w14:paraId="261A7969" w14:textId="77777777" w:rsidR="00B1552F" w:rsidRDefault="00B1552F" w:rsidP="00B1552F">
            <w:pPr>
              <w:pStyle w:val="Tablecopy"/>
            </w:pPr>
            <w:r>
              <w:t xml:space="preserve">Scootle log-in required. Use ID </w:t>
            </w:r>
            <w:r w:rsidRPr="0009529E">
              <w:t>M025856</w:t>
            </w:r>
            <w:r>
              <w:t xml:space="preserve"> in search field to find resource.</w:t>
            </w:r>
          </w:p>
          <w:p w14:paraId="60B06BD0" w14:textId="77777777" w:rsidR="00B1552F" w:rsidRPr="003B0EC7" w:rsidRDefault="00B1552F" w:rsidP="00B1552F">
            <w:pPr>
              <w:pStyle w:val="Tablecopy"/>
            </w:pPr>
            <w:r>
              <w:t xml:space="preserve"> Short 5-minute excerpt of full-length movie.</w:t>
            </w:r>
            <w:r w:rsidRPr="0009529E">
              <w:t xml:space="preserve"> Includes discussion prompts and links to resources for teachers.</w:t>
            </w:r>
          </w:p>
        </w:tc>
      </w:tr>
      <w:tr w:rsidR="00B1552F" w:rsidRPr="003B0EC7" w14:paraId="31769264" w14:textId="77777777" w:rsidTr="008B40C2">
        <w:trPr>
          <w:trHeight w:val="70"/>
        </w:trPr>
        <w:tc>
          <w:tcPr>
            <w:tcW w:w="988" w:type="dxa"/>
          </w:tcPr>
          <w:p w14:paraId="02A5A639" w14:textId="1E57F3A0" w:rsidR="00B1552F" w:rsidRDefault="00B1552F" w:rsidP="00B1552F">
            <w:pPr>
              <w:pStyle w:val="Tablecopy"/>
            </w:pPr>
            <w:r>
              <w:t xml:space="preserve">Years </w:t>
            </w:r>
            <w:r>
              <w:br/>
              <w:t>9 - 12</w:t>
            </w:r>
          </w:p>
        </w:tc>
        <w:tc>
          <w:tcPr>
            <w:tcW w:w="1417" w:type="dxa"/>
          </w:tcPr>
          <w:p w14:paraId="27E67E3F" w14:textId="77777777" w:rsidR="00B1552F" w:rsidRDefault="00B1552F" w:rsidP="00B1552F">
            <w:pPr>
              <w:pStyle w:val="Tablecopy"/>
            </w:pPr>
            <w:r w:rsidRPr="00E41EDC">
              <w:t xml:space="preserve">More Than This </w:t>
            </w:r>
          </w:p>
        </w:tc>
        <w:tc>
          <w:tcPr>
            <w:tcW w:w="4394" w:type="dxa"/>
          </w:tcPr>
          <w:p w14:paraId="508610CD" w14:textId="77777777" w:rsidR="00B1552F" w:rsidRPr="00FA01AD" w:rsidRDefault="00B1552F" w:rsidP="00B1552F">
            <w:pPr>
              <w:pStyle w:val="Tablecopy"/>
            </w:pPr>
            <w:r w:rsidRPr="00E41EDC">
              <w:t xml:space="preserve">This resource is based on an M-rated series that explores issues relevant to contemporary teens, including identity, belonging, gender identity and sexuality. Image-based abuse is covered in the consent and respectful relationships lesson. </w:t>
            </w:r>
          </w:p>
        </w:tc>
        <w:tc>
          <w:tcPr>
            <w:tcW w:w="2694" w:type="dxa"/>
          </w:tcPr>
          <w:p w14:paraId="423F781E" w14:textId="77777777" w:rsidR="00B1552F" w:rsidRPr="00660217" w:rsidRDefault="00000000" w:rsidP="00B1552F">
            <w:pPr>
              <w:pStyle w:val="Tablecopy"/>
              <w:rPr>
                <w:rStyle w:val="Hyperlink"/>
              </w:rPr>
            </w:pPr>
            <w:hyperlink r:id="rId26" w:history="1">
              <w:r w:rsidR="00B1552F" w:rsidRPr="00660217">
                <w:rPr>
                  <w:rStyle w:val="Hyperlink"/>
                </w:rPr>
                <w:t>https://actf.com.au/education/resources/teaching-resource/more-than-this-learning-resource</w:t>
              </w:r>
            </w:hyperlink>
          </w:p>
          <w:p w14:paraId="17EFE31A" w14:textId="77777777" w:rsidR="00B1552F" w:rsidRPr="00660217" w:rsidRDefault="00B1552F" w:rsidP="00B1552F">
            <w:pPr>
              <w:pStyle w:val="Tablecopy"/>
              <w:rPr>
                <w:rStyle w:val="Hyperlink"/>
              </w:rPr>
            </w:pPr>
          </w:p>
        </w:tc>
        <w:tc>
          <w:tcPr>
            <w:tcW w:w="1842" w:type="dxa"/>
          </w:tcPr>
          <w:p w14:paraId="68E82BDE" w14:textId="77777777" w:rsidR="00B1552F" w:rsidRDefault="00B1552F" w:rsidP="00B1552F">
            <w:pPr>
              <w:pStyle w:val="Tablecopy"/>
            </w:pPr>
            <w:r>
              <w:t xml:space="preserve">Australian Children’s Television Foundation </w:t>
            </w:r>
          </w:p>
        </w:tc>
        <w:tc>
          <w:tcPr>
            <w:tcW w:w="4111" w:type="dxa"/>
          </w:tcPr>
          <w:p w14:paraId="2DE7D22B" w14:textId="77777777" w:rsidR="00B1552F" w:rsidRDefault="00B1552F" w:rsidP="00B1552F">
            <w:pPr>
              <w:pStyle w:val="Tablecopy"/>
            </w:pPr>
            <w:r w:rsidRPr="00E41EDC">
              <w:t xml:space="preserve">Developed in collaboration with Queer Town and features resources / guidance from Kids’ Helpline. Short clips are embedded in the resource. Language warning and mature content / themes for audiences aged 15+. </w:t>
            </w:r>
          </w:p>
        </w:tc>
      </w:tr>
    </w:tbl>
    <w:p w14:paraId="2CDAC6D8" w14:textId="77777777" w:rsidR="00757D04" w:rsidRDefault="00757D04" w:rsidP="006312D8">
      <w:pPr>
        <w:pStyle w:val="Tablecopy"/>
      </w:pPr>
    </w:p>
    <w:p w14:paraId="37211A9F" w14:textId="46E6B511" w:rsidR="00383ED8" w:rsidRPr="00757D04" w:rsidRDefault="00383ED8" w:rsidP="006312D8">
      <w:pPr>
        <w:pStyle w:val="Tablecopy"/>
      </w:pPr>
    </w:p>
    <w:sectPr w:rsidR="00383ED8" w:rsidRPr="00757D04" w:rsidSect="0057313D">
      <w:headerReference w:type="default" r:id="rId27"/>
      <w:footerReference w:type="default" r:id="rId28"/>
      <w:pgSz w:w="16838" w:h="11906" w:orient="landscape"/>
      <w:pgMar w:top="1967" w:right="720" w:bottom="149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F2F6" w14:textId="77777777" w:rsidR="008F7DED" w:rsidRDefault="008F7DED" w:rsidP="006312D8">
      <w:r>
        <w:separator/>
      </w:r>
    </w:p>
  </w:endnote>
  <w:endnote w:type="continuationSeparator" w:id="0">
    <w:p w14:paraId="45A38FC3" w14:textId="77777777" w:rsidR="008F7DED" w:rsidRDefault="008F7DED" w:rsidP="0063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wners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-Boo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 Ext Condensed Bold">
    <w:panose1 w:val="020B0902020104020203"/>
    <w:charset w:val="4D"/>
    <w:family w:val="swiss"/>
    <w:pitch w:val="variable"/>
    <w:sig w:usb0="00000003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7931" w14:textId="129266A6" w:rsidR="00840281" w:rsidRPr="00840281" w:rsidRDefault="00840281" w:rsidP="006312D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17F8CA" wp14:editId="7FA006EF">
          <wp:simplePos x="0" y="0"/>
          <wp:positionH relativeFrom="page">
            <wp:posOffset>5883</wp:posOffset>
          </wp:positionH>
          <wp:positionV relativeFrom="paragraph">
            <wp:posOffset>-747400</wp:posOffset>
          </wp:positionV>
          <wp:extent cx="10692000" cy="954000"/>
          <wp:effectExtent l="0" t="0" r="0" b="0"/>
          <wp:wrapNone/>
          <wp:docPr id="7623868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160155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8519" w14:textId="77777777" w:rsidR="008F7DED" w:rsidRDefault="008F7DED" w:rsidP="006312D8">
      <w:r>
        <w:separator/>
      </w:r>
    </w:p>
  </w:footnote>
  <w:footnote w:type="continuationSeparator" w:id="0">
    <w:p w14:paraId="73B350C8" w14:textId="77777777" w:rsidR="008F7DED" w:rsidRDefault="008F7DED" w:rsidP="0063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AE7C" w14:textId="0A8DE578" w:rsidR="00840281" w:rsidRDefault="00840281" w:rsidP="006312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A051A8" wp14:editId="1A92DB75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10695600" cy="1080000"/>
          <wp:effectExtent l="0" t="0" r="0" b="0"/>
          <wp:wrapSquare wrapText="bothSides"/>
          <wp:docPr id="10090069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78233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E76"/>
    <w:multiLevelType w:val="hybridMultilevel"/>
    <w:tmpl w:val="86BEBDFE"/>
    <w:lvl w:ilvl="0" w:tplc="151C268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Owners-Bold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7DE6"/>
    <w:multiLevelType w:val="hybridMultilevel"/>
    <w:tmpl w:val="739CABF6"/>
    <w:lvl w:ilvl="0" w:tplc="ABEACF2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C53E1"/>
    <w:multiLevelType w:val="hybridMultilevel"/>
    <w:tmpl w:val="2FAC26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623D5"/>
    <w:multiLevelType w:val="hybridMultilevel"/>
    <w:tmpl w:val="A0264C38"/>
    <w:lvl w:ilvl="0" w:tplc="0C09000F">
      <w:start w:val="1"/>
      <w:numFmt w:val="decimal"/>
      <w:lvlText w:val="%1."/>
      <w:lvlJc w:val="left"/>
      <w:pPr>
        <w:ind w:left="398" w:hanging="360"/>
      </w:pPr>
    </w:lvl>
    <w:lvl w:ilvl="1" w:tplc="0C090019" w:tentative="1">
      <w:start w:val="1"/>
      <w:numFmt w:val="lowerLetter"/>
      <w:lvlText w:val="%2."/>
      <w:lvlJc w:val="left"/>
      <w:pPr>
        <w:ind w:left="1118" w:hanging="360"/>
      </w:pPr>
    </w:lvl>
    <w:lvl w:ilvl="2" w:tplc="0C09001B" w:tentative="1">
      <w:start w:val="1"/>
      <w:numFmt w:val="lowerRoman"/>
      <w:lvlText w:val="%3."/>
      <w:lvlJc w:val="right"/>
      <w:pPr>
        <w:ind w:left="1838" w:hanging="180"/>
      </w:pPr>
    </w:lvl>
    <w:lvl w:ilvl="3" w:tplc="0C09000F" w:tentative="1">
      <w:start w:val="1"/>
      <w:numFmt w:val="decimal"/>
      <w:lvlText w:val="%4."/>
      <w:lvlJc w:val="left"/>
      <w:pPr>
        <w:ind w:left="2558" w:hanging="360"/>
      </w:pPr>
    </w:lvl>
    <w:lvl w:ilvl="4" w:tplc="0C090019" w:tentative="1">
      <w:start w:val="1"/>
      <w:numFmt w:val="lowerLetter"/>
      <w:lvlText w:val="%5."/>
      <w:lvlJc w:val="left"/>
      <w:pPr>
        <w:ind w:left="3278" w:hanging="360"/>
      </w:pPr>
    </w:lvl>
    <w:lvl w:ilvl="5" w:tplc="0C09001B" w:tentative="1">
      <w:start w:val="1"/>
      <w:numFmt w:val="lowerRoman"/>
      <w:lvlText w:val="%6."/>
      <w:lvlJc w:val="right"/>
      <w:pPr>
        <w:ind w:left="3998" w:hanging="180"/>
      </w:pPr>
    </w:lvl>
    <w:lvl w:ilvl="6" w:tplc="0C09000F" w:tentative="1">
      <w:start w:val="1"/>
      <w:numFmt w:val="decimal"/>
      <w:lvlText w:val="%7."/>
      <w:lvlJc w:val="left"/>
      <w:pPr>
        <w:ind w:left="4718" w:hanging="360"/>
      </w:pPr>
    </w:lvl>
    <w:lvl w:ilvl="7" w:tplc="0C090019" w:tentative="1">
      <w:start w:val="1"/>
      <w:numFmt w:val="lowerLetter"/>
      <w:lvlText w:val="%8."/>
      <w:lvlJc w:val="left"/>
      <w:pPr>
        <w:ind w:left="5438" w:hanging="360"/>
      </w:pPr>
    </w:lvl>
    <w:lvl w:ilvl="8" w:tplc="0C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13F41B5E"/>
    <w:multiLevelType w:val="hybridMultilevel"/>
    <w:tmpl w:val="54860166"/>
    <w:lvl w:ilvl="0" w:tplc="698CBE9A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353DB"/>
    <w:multiLevelType w:val="hybridMultilevel"/>
    <w:tmpl w:val="A16E81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13F77"/>
    <w:multiLevelType w:val="hybridMultilevel"/>
    <w:tmpl w:val="108C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87460"/>
    <w:multiLevelType w:val="hybridMultilevel"/>
    <w:tmpl w:val="D0B091D6"/>
    <w:lvl w:ilvl="0" w:tplc="698CBE9A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B91DF5"/>
    <w:multiLevelType w:val="hybridMultilevel"/>
    <w:tmpl w:val="4E407250"/>
    <w:lvl w:ilvl="0" w:tplc="DF208CBA">
      <w:start w:val="1"/>
      <w:numFmt w:val="decimal"/>
      <w:lvlText w:val="%1."/>
      <w:lvlJc w:val="left"/>
      <w:pPr>
        <w:ind w:left="39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118" w:hanging="360"/>
      </w:pPr>
    </w:lvl>
    <w:lvl w:ilvl="2" w:tplc="0C09001B" w:tentative="1">
      <w:start w:val="1"/>
      <w:numFmt w:val="lowerRoman"/>
      <w:lvlText w:val="%3."/>
      <w:lvlJc w:val="right"/>
      <w:pPr>
        <w:ind w:left="1838" w:hanging="180"/>
      </w:pPr>
    </w:lvl>
    <w:lvl w:ilvl="3" w:tplc="0C09000F" w:tentative="1">
      <w:start w:val="1"/>
      <w:numFmt w:val="decimal"/>
      <w:lvlText w:val="%4."/>
      <w:lvlJc w:val="left"/>
      <w:pPr>
        <w:ind w:left="2558" w:hanging="360"/>
      </w:pPr>
    </w:lvl>
    <w:lvl w:ilvl="4" w:tplc="0C090019" w:tentative="1">
      <w:start w:val="1"/>
      <w:numFmt w:val="lowerLetter"/>
      <w:lvlText w:val="%5."/>
      <w:lvlJc w:val="left"/>
      <w:pPr>
        <w:ind w:left="3278" w:hanging="360"/>
      </w:pPr>
    </w:lvl>
    <w:lvl w:ilvl="5" w:tplc="0C09001B" w:tentative="1">
      <w:start w:val="1"/>
      <w:numFmt w:val="lowerRoman"/>
      <w:lvlText w:val="%6."/>
      <w:lvlJc w:val="right"/>
      <w:pPr>
        <w:ind w:left="3998" w:hanging="180"/>
      </w:pPr>
    </w:lvl>
    <w:lvl w:ilvl="6" w:tplc="0C09000F" w:tentative="1">
      <w:start w:val="1"/>
      <w:numFmt w:val="decimal"/>
      <w:lvlText w:val="%7."/>
      <w:lvlJc w:val="left"/>
      <w:pPr>
        <w:ind w:left="4718" w:hanging="360"/>
      </w:pPr>
    </w:lvl>
    <w:lvl w:ilvl="7" w:tplc="0C090019" w:tentative="1">
      <w:start w:val="1"/>
      <w:numFmt w:val="lowerLetter"/>
      <w:lvlText w:val="%8."/>
      <w:lvlJc w:val="left"/>
      <w:pPr>
        <w:ind w:left="5438" w:hanging="360"/>
      </w:pPr>
    </w:lvl>
    <w:lvl w:ilvl="8" w:tplc="0C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29EC7CDA"/>
    <w:multiLevelType w:val="hybridMultilevel"/>
    <w:tmpl w:val="2B803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610B3"/>
    <w:multiLevelType w:val="hybridMultilevel"/>
    <w:tmpl w:val="49F4A102"/>
    <w:lvl w:ilvl="0" w:tplc="1F344E7C">
      <w:numFmt w:val="bullet"/>
      <w:lvlText w:val="•"/>
      <w:lvlJc w:val="left"/>
      <w:pPr>
        <w:ind w:left="720" w:hanging="360"/>
      </w:pPr>
      <w:rPr>
        <w:rFonts w:ascii="Gibson-Book" w:eastAsiaTheme="minorEastAsia" w:hAnsi="Gibson-Book" w:cs="Gibson-Book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46631"/>
    <w:multiLevelType w:val="multilevel"/>
    <w:tmpl w:val="7506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D6708"/>
    <w:multiLevelType w:val="multilevel"/>
    <w:tmpl w:val="B7C2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3A6903"/>
    <w:multiLevelType w:val="hybridMultilevel"/>
    <w:tmpl w:val="DFA209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BA4109"/>
    <w:multiLevelType w:val="hybridMultilevel"/>
    <w:tmpl w:val="57DE6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759DD"/>
    <w:multiLevelType w:val="hybridMultilevel"/>
    <w:tmpl w:val="900CBE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7523C"/>
    <w:multiLevelType w:val="hybridMultilevel"/>
    <w:tmpl w:val="8F02D66A"/>
    <w:lvl w:ilvl="0" w:tplc="698CBE9A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734EF1"/>
    <w:multiLevelType w:val="hybridMultilevel"/>
    <w:tmpl w:val="84E6F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060078"/>
    <w:multiLevelType w:val="hybridMultilevel"/>
    <w:tmpl w:val="79CC0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9526">
    <w:abstractNumId w:val="9"/>
  </w:num>
  <w:num w:numId="2" w16cid:durableId="1407336301">
    <w:abstractNumId w:val="0"/>
  </w:num>
  <w:num w:numId="3" w16cid:durableId="1905489231">
    <w:abstractNumId w:val="14"/>
  </w:num>
  <w:num w:numId="4" w16cid:durableId="597638769">
    <w:abstractNumId w:val="10"/>
  </w:num>
  <w:num w:numId="5" w16cid:durableId="1337533984">
    <w:abstractNumId w:val="17"/>
  </w:num>
  <w:num w:numId="6" w16cid:durableId="372659192">
    <w:abstractNumId w:val="18"/>
  </w:num>
  <w:num w:numId="7" w16cid:durableId="1460419499">
    <w:abstractNumId w:val="16"/>
  </w:num>
  <w:num w:numId="8" w16cid:durableId="1435973293">
    <w:abstractNumId w:val="12"/>
  </w:num>
  <w:num w:numId="9" w16cid:durableId="355271194">
    <w:abstractNumId w:val="2"/>
  </w:num>
  <w:num w:numId="10" w16cid:durableId="590284378">
    <w:abstractNumId w:val="13"/>
  </w:num>
  <w:num w:numId="11" w16cid:durableId="1290673514">
    <w:abstractNumId w:val="6"/>
  </w:num>
  <w:num w:numId="12" w16cid:durableId="129858962">
    <w:abstractNumId w:val="4"/>
  </w:num>
  <w:num w:numId="13" w16cid:durableId="1459181946">
    <w:abstractNumId w:val="7"/>
  </w:num>
  <w:num w:numId="14" w16cid:durableId="898177282">
    <w:abstractNumId w:val="3"/>
  </w:num>
  <w:num w:numId="15" w16cid:durableId="1929776695">
    <w:abstractNumId w:val="8"/>
  </w:num>
  <w:num w:numId="16" w16cid:durableId="331563465">
    <w:abstractNumId w:val="11"/>
  </w:num>
  <w:num w:numId="17" w16cid:durableId="1784957492">
    <w:abstractNumId w:val="5"/>
  </w:num>
  <w:num w:numId="18" w16cid:durableId="1815952280">
    <w:abstractNumId w:val="15"/>
  </w:num>
  <w:num w:numId="19" w16cid:durableId="490875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53"/>
    <w:rsid w:val="00002C22"/>
    <w:rsid w:val="00003033"/>
    <w:rsid w:val="00045701"/>
    <w:rsid w:val="00075749"/>
    <w:rsid w:val="000805D9"/>
    <w:rsid w:val="00092765"/>
    <w:rsid w:val="000B45B0"/>
    <w:rsid w:val="000C1C7A"/>
    <w:rsid w:val="000C74D3"/>
    <w:rsid w:val="000E078D"/>
    <w:rsid w:val="000F62C6"/>
    <w:rsid w:val="0010016E"/>
    <w:rsid w:val="00101C74"/>
    <w:rsid w:val="00127BD2"/>
    <w:rsid w:val="00144673"/>
    <w:rsid w:val="00152A7D"/>
    <w:rsid w:val="00154F3D"/>
    <w:rsid w:val="00161601"/>
    <w:rsid w:val="00161A3B"/>
    <w:rsid w:val="00172BC3"/>
    <w:rsid w:val="00180959"/>
    <w:rsid w:val="001908A8"/>
    <w:rsid w:val="001A4800"/>
    <w:rsid w:val="001A5AA1"/>
    <w:rsid w:val="001B34C5"/>
    <w:rsid w:val="001D6765"/>
    <w:rsid w:val="001E09AD"/>
    <w:rsid w:val="001E7351"/>
    <w:rsid w:val="001F1067"/>
    <w:rsid w:val="001F25AF"/>
    <w:rsid w:val="00204983"/>
    <w:rsid w:val="002459D4"/>
    <w:rsid w:val="00276B74"/>
    <w:rsid w:val="0028698B"/>
    <w:rsid w:val="002B3953"/>
    <w:rsid w:val="002D6F2F"/>
    <w:rsid w:val="002E096E"/>
    <w:rsid w:val="002F31CD"/>
    <w:rsid w:val="00313132"/>
    <w:rsid w:val="00314207"/>
    <w:rsid w:val="00324CB8"/>
    <w:rsid w:val="00325043"/>
    <w:rsid w:val="00380527"/>
    <w:rsid w:val="00383ED8"/>
    <w:rsid w:val="00391F5B"/>
    <w:rsid w:val="003C3A1D"/>
    <w:rsid w:val="003D6538"/>
    <w:rsid w:val="003F3971"/>
    <w:rsid w:val="004043AD"/>
    <w:rsid w:val="00406761"/>
    <w:rsid w:val="00410E20"/>
    <w:rsid w:val="004124A2"/>
    <w:rsid w:val="00423A0D"/>
    <w:rsid w:val="004331BE"/>
    <w:rsid w:val="00465AF1"/>
    <w:rsid w:val="004729FF"/>
    <w:rsid w:val="004749B5"/>
    <w:rsid w:val="004755C5"/>
    <w:rsid w:val="004916D9"/>
    <w:rsid w:val="004B201B"/>
    <w:rsid w:val="004F64D8"/>
    <w:rsid w:val="004F7F07"/>
    <w:rsid w:val="00515E13"/>
    <w:rsid w:val="005244E6"/>
    <w:rsid w:val="00525833"/>
    <w:rsid w:val="00570E02"/>
    <w:rsid w:val="0057313D"/>
    <w:rsid w:val="00573ECB"/>
    <w:rsid w:val="00575C34"/>
    <w:rsid w:val="00581897"/>
    <w:rsid w:val="00593FD1"/>
    <w:rsid w:val="005C6A5A"/>
    <w:rsid w:val="005D1248"/>
    <w:rsid w:val="005E3C02"/>
    <w:rsid w:val="005E419B"/>
    <w:rsid w:val="005F19A6"/>
    <w:rsid w:val="00607604"/>
    <w:rsid w:val="006260AC"/>
    <w:rsid w:val="006312D8"/>
    <w:rsid w:val="00632D1D"/>
    <w:rsid w:val="006352C6"/>
    <w:rsid w:val="00635B96"/>
    <w:rsid w:val="00636988"/>
    <w:rsid w:val="006402BB"/>
    <w:rsid w:val="00654465"/>
    <w:rsid w:val="00660217"/>
    <w:rsid w:val="00686ECD"/>
    <w:rsid w:val="0069395D"/>
    <w:rsid w:val="00693B53"/>
    <w:rsid w:val="006A5502"/>
    <w:rsid w:val="006C50D4"/>
    <w:rsid w:val="006D671D"/>
    <w:rsid w:val="006F0287"/>
    <w:rsid w:val="007104B4"/>
    <w:rsid w:val="007413E4"/>
    <w:rsid w:val="00755812"/>
    <w:rsid w:val="00757D04"/>
    <w:rsid w:val="007825C9"/>
    <w:rsid w:val="00784F3F"/>
    <w:rsid w:val="00787CAC"/>
    <w:rsid w:val="007B105C"/>
    <w:rsid w:val="007C0C38"/>
    <w:rsid w:val="007D2710"/>
    <w:rsid w:val="007E09DE"/>
    <w:rsid w:val="007E346A"/>
    <w:rsid w:val="007E7799"/>
    <w:rsid w:val="007F5687"/>
    <w:rsid w:val="007F7551"/>
    <w:rsid w:val="00802DA2"/>
    <w:rsid w:val="00840281"/>
    <w:rsid w:val="00844E1C"/>
    <w:rsid w:val="00867023"/>
    <w:rsid w:val="00892310"/>
    <w:rsid w:val="008A14A9"/>
    <w:rsid w:val="008B3DAC"/>
    <w:rsid w:val="008B40C2"/>
    <w:rsid w:val="008C32DA"/>
    <w:rsid w:val="008C433F"/>
    <w:rsid w:val="008F47A8"/>
    <w:rsid w:val="008F7DED"/>
    <w:rsid w:val="00902D82"/>
    <w:rsid w:val="00920DF6"/>
    <w:rsid w:val="009257B1"/>
    <w:rsid w:val="00940222"/>
    <w:rsid w:val="00950507"/>
    <w:rsid w:val="00952589"/>
    <w:rsid w:val="00957BC4"/>
    <w:rsid w:val="00961925"/>
    <w:rsid w:val="009923F1"/>
    <w:rsid w:val="00994C6F"/>
    <w:rsid w:val="009C54E8"/>
    <w:rsid w:val="009D0819"/>
    <w:rsid w:val="009F14EB"/>
    <w:rsid w:val="009F2DB5"/>
    <w:rsid w:val="009F58C8"/>
    <w:rsid w:val="00A3139F"/>
    <w:rsid w:val="00A5549B"/>
    <w:rsid w:val="00A56D41"/>
    <w:rsid w:val="00A61D18"/>
    <w:rsid w:val="00A6390D"/>
    <w:rsid w:val="00A646C6"/>
    <w:rsid w:val="00A66895"/>
    <w:rsid w:val="00A83F5A"/>
    <w:rsid w:val="00A9797D"/>
    <w:rsid w:val="00AA0A63"/>
    <w:rsid w:val="00AE53E5"/>
    <w:rsid w:val="00AF24B5"/>
    <w:rsid w:val="00B0196B"/>
    <w:rsid w:val="00B10A9A"/>
    <w:rsid w:val="00B12597"/>
    <w:rsid w:val="00B1552F"/>
    <w:rsid w:val="00B317E9"/>
    <w:rsid w:val="00B4293D"/>
    <w:rsid w:val="00B75D4D"/>
    <w:rsid w:val="00B877B8"/>
    <w:rsid w:val="00B96606"/>
    <w:rsid w:val="00BA3D52"/>
    <w:rsid w:val="00BB2D93"/>
    <w:rsid w:val="00BC2048"/>
    <w:rsid w:val="00BE1413"/>
    <w:rsid w:val="00BF0537"/>
    <w:rsid w:val="00C134DE"/>
    <w:rsid w:val="00C32F79"/>
    <w:rsid w:val="00C33D8D"/>
    <w:rsid w:val="00C61CFB"/>
    <w:rsid w:val="00C80B59"/>
    <w:rsid w:val="00C85A16"/>
    <w:rsid w:val="00CA36A5"/>
    <w:rsid w:val="00CC16FA"/>
    <w:rsid w:val="00CC5459"/>
    <w:rsid w:val="00CC7382"/>
    <w:rsid w:val="00CE73F5"/>
    <w:rsid w:val="00CE7538"/>
    <w:rsid w:val="00CF7CC6"/>
    <w:rsid w:val="00D378CA"/>
    <w:rsid w:val="00D4770B"/>
    <w:rsid w:val="00D5264C"/>
    <w:rsid w:val="00D8358F"/>
    <w:rsid w:val="00D92BA0"/>
    <w:rsid w:val="00DA4B0A"/>
    <w:rsid w:val="00DB3C5D"/>
    <w:rsid w:val="00DB56BB"/>
    <w:rsid w:val="00DB79F3"/>
    <w:rsid w:val="00DC26C2"/>
    <w:rsid w:val="00DE2EE0"/>
    <w:rsid w:val="00E01A56"/>
    <w:rsid w:val="00E04643"/>
    <w:rsid w:val="00E07C64"/>
    <w:rsid w:val="00E2148F"/>
    <w:rsid w:val="00E2635E"/>
    <w:rsid w:val="00E70EB3"/>
    <w:rsid w:val="00E93364"/>
    <w:rsid w:val="00EA01BA"/>
    <w:rsid w:val="00EA5F15"/>
    <w:rsid w:val="00EA73A2"/>
    <w:rsid w:val="00EB0BD8"/>
    <w:rsid w:val="00EC3EBD"/>
    <w:rsid w:val="00ED0E43"/>
    <w:rsid w:val="00ED34D0"/>
    <w:rsid w:val="00EE6887"/>
    <w:rsid w:val="00F4780C"/>
    <w:rsid w:val="00F54876"/>
    <w:rsid w:val="00F5494C"/>
    <w:rsid w:val="00F56908"/>
    <w:rsid w:val="00F761C6"/>
    <w:rsid w:val="00F92A67"/>
    <w:rsid w:val="00F974CE"/>
    <w:rsid w:val="00FC0BDB"/>
    <w:rsid w:val="00FC7287"/>
    <w:rsid w:val="00FE66F1"/>
    <w:rsid w:val="00F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F5D3D"/>
  <w15:chartTrackingRefBased/>
  <w15:docId w15:val="{A150FA85-8CF9-4966-9D3D-F16F1FC7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D8"/>
    <w:rPr>
      <w:rFonts w:ascii="Arial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C6F"/>
    <w:pPr>
      <w:keepNext/>
      <w:keepLines/>
      <w:spacing w:before="240" w:after="0"/>
      <w:ind w:left="142" w:hanging="142"/>
      <w:outlineLvl w:val="0"/>
    </w:pPr>
    <w:rPr>
      <w:rFonts w:ascii="Gill Sans MT Ext Condensed Bold" w:eastAsiaTheme="majorEastAsia" w:hAnsi="Gill Sans MT Ext Condensed Bold" w:cs="Times New Roman (Headings CS)"/>
      <w:b/>
      <w:bCs/>
      <w:color w:val="A200E3"/>
      <w:spacing w:val="10"/>
      <w:sz w:val="64"/>
      <w:szCs w:val="64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B4293D"/>
    <w:pPr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293D"/>
    <w:pPr>
      <w:spacing w:after="60"/>
      <w:outlineLvl w:val="2"/>
    </w:pPr>
    <w:rPr>
      <w:b/>
      <w:bCs/>
      <w:color w:val="A200E3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12D8"/>
    <w:pPr>
      <w:keepNext/>
      <w:keepLines/>
      <w:spacing w:before="40" w:after="0" w:line="240" w:lineRule="auto"/>
      <w:outlineLvl w:val="3"/>
    </w:pPr>
    <w:rPr>
      <w:rFonts w:eastAsiaTheme="majorEastAsia"/>
      <w:b/>
      <w:bCs/>
      <w:caps/>
      <w:color w:val="A200E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4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98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98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4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139F"/>
    <w:pPr>
      <w:numPr>
        <w:numId w:val="19"/>
      </w:numPr>
      <w:ind w:left="426"/>
      <w:contextualSpacing/>
    </w:pPr>
  </w:style>
  <w:style w:type="character" w:styleId="Hyperlink">
    <w:name w:val="Hyperlink"/>
    <w:basedOn w:val="DefaultParagraphFont"/>
    <w:uiPriority w:val="99"/>
    <w:unhideWhenUsed/>
    <w:rsid w:val="006312D8"/>
    <w:rPr>
      <w:color w:val="A200E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E53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53E5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A14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0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281"/>
  </w:style>
  <w:style w:type="paragraph" w:styleId="Footer">
    <w:name w:val="footer"/>
    <w:basedOn w:val="Normal"/>
    <w:link w:val="FooterChar"/>
    <w:uiPriority w:val="99"/>
    <w:unhideWhenUsed/>
    <w:rsid w:val="00840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281"/>
  </w:style>
  <w:style w:type="character" w:customStyle="1" w:styleId="Heading1Char">
    <w:name w:val="Heading 1 Char"/>
    <w:basedOn w:val="DefaultParagraphFont"/>
    <w:link w:val="Heading1"/>
    <w:uiPriority w:val="9"/>
    <w:rsid w:val="00994C6F"/>
    <w:rPr>
      <w:rFonts w:ascii="Gill Sans MT Ext Condensed Bold" w:eastAsiaTheme="majorEastAsia" w:hAnsi="Gill Sans MT Ext Condensed Bold" w:cs="Times New Roman (Headings CS)"/>
      <w:b/>
      <w:bCs/>
      <w:color w:val="A200E3"/>
      <w:spacing w:val="10"/>
      <w:sz w:val="64"/>
      <w:szCs w:val="6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4293D"/>
    <w:rPr>
      <w:rFonts w:ascii="Arial" w:hAnsi="Arial" w:cs="Arial"/>
      <w:b/>
      <w:bCs/>
      <w:color w:val="A200E3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4293D"/>
    <w:rPr>
      <w:rFonts w:ascii="Arial" w:hAnsi="Arial" w:cs="Arial"/>
      <w:b/>
      <w:bCs/>
      <w:color w:val="A200E3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312D8"/>
    <w:rPr>
      <w:rFonts w:ascii="Arial" w:eastAsiaTheme="majorEastAsia" w:hAnsi="Arial" w:cs="Arial"/>
      <w:b/>
      <w:bCs/>
      <w:caps/>
      <w:color w:val="A200E3"/>
      <w:lang w:val="en-US"/>
    </w:rPr>
  </w:style>
  <w:style w:type="character" w:styleId="Strong">
    <w:name w:val="Strong"/>
    <w:basedOn w:val="DefaultParagraphFont"/>
    <w:uiPriority w:val="22"/>
    <w:qFormat/>
    <w:rsid w:val="00FC7287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A3139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rsid w:val="00A3139F"/>
    <w:pPr>
      <w:numPr>
        <w:ilvl w:val="1"/>
      </w:numPr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139F"/>
    <w:rPr>
      <w:color w:val="5A5A5A" w:themeColor="text1" w:themeTint="A5"/>
      <w:spacing w:val="15"/>
      <w:lang w:val="en-US"/>
    </w:rPr>
  </w:style>
  <w:style w:type="paragraph" w:styleId="NoSpacing">
    <w:name w:val="No Spacing"/>
    <w:uiPriority w:val="1"/>
    <w:qFormat/>
    <w:rsid w:val="00A3139F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Tablecopy">
    <w:name w:val="Table copy"/>
    <w:basedOn w:val="Normal"/>
    <w:qFormat/>
    <w:rsid w:val="006312D8"/>
    <w:pPr>
      <w:spacing w:after="0" w:line="240" w:lineRule="auto"/>
    </w:pPr>
    <w:rPr>
      <w:sz w:val="17"/>
      <w:szCs w:val="17"/>
    </w:rPr>
  </w:style>
  <w:style w:type="character" w:styleId="FollowedHyperlink">
    <w:name w:val="FollowedHyperlink"/>
    <w:basedOn w:val="DefaultParagraphFont"/>
    <w:uiPriority w:val="99"/>
    <w:semiHidden/>
    <w:unhideWhenUsed/>
    <w:rsid w:val="00757D04"/>
    <w:rPr>
      <w:color w:val="954F72" w:themeColor="followedHyperlink"/>
      <w:u w:val="single"/>
    </w:rPr>
  </w:style>
  <w:style w:type="paragraph" w:customStyle="1" w:styleId="Tableheading">
    <w:name w:val="Table heading"/>
    <w:basedOn w:val="Heading4"/>
    <w:qFormat/>
    <w:rsid w:val="006312D8"/>
    <w:rPr>
      <w:caps w:val="0"/>
      <w:color w:val="000000" w:themeColor="text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education.nsw.gov.au/rap/resource/access/64a855c2-dfda-427f-b5f7-c13437489abb/1" TargetMode="External"/><Relationship Id="rId13" Type="http://schemas.openxmlformats.org/officeDocument/2006/relationships/hyperlink" Target="https://actf.com.au/education/first-day-s2-resource/about-this-resource" TargetMode="External"/><Relationship Id="rId18" Type="http://schemas.openxmlformats.org/officeDocument/2006/relationships/hyperlink" Target="https://studentwellbeinghub.edu.au/educators/resources/building-a-culture-of-diversity/" TargetMode="External"/><Relationship Id="rId26" Type="http://schemas.openxmlformats.org/officeDocument/2006/relationships/hyperlink" Target="https://actf.com.au/education/resources/teaching-resource/more-than-this-learning-resour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udentwellbeinghub.edu.au/educators/resources/cultural-safety-for-aboriginal-children/" TargetMode="External"/><Relationship Id="rId7" Type="http://schemas.openxmlformats.org/officeDocument/2006/relationships/hyperlink" Target="https://actf.com.au/education/resources/id/10444/first-day-series-1-resource" TargetMode="External"/><Relationship Id="rId12" Type="http://schemas.openxmlformats.org/officeDocument/2006/relationships/hyperlink" Target="https://studentwellbeinghub.edu.au/educators/resources/autism-resources-for-adolescents/" TargetMode="External"/><Relationship Id="rId17" Type="http://schemas.openxmlformats.org/officeDocument/2006/relationships/hyperlink" Target="https://www.esafety.gov.au/educators/classroom-resources/young-and-esafe" TargetMode="External"/><Relationship Id="rId25" Type="http://schemas.openxmlformats.org/officeDocument/2006/relationships/hyperlink" Target="https://www.abc.net.au/education/in-my-blood-it-runs-connections-to-country/13810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aus01.safelinks.protection.outlook.com/?url=https%3A%2F%2Feducation.nsw.gov.au%2Fschooling%2Fschooling-initiatives%2Fanti-bullying%2Feducators%2Fantibullying-units-of-work&amp;data=05%7C02%7CKathryn.Phippen1%40det.nsw.edu.au%7C05746796fae9416fc7fb08dc73a53989%7C05a0e69a418a47c19c259387261bf991%7C0%7C0%7C638512401436582416%7CUnknown%7CTWFpbGZsb3d8eyJWIjoiMC4wLjAwMDAiLCJQIjoiV2luMzIiLCJBTiI6Ik1haWwiLCJXVCI6Mn0%3D%7C0%7C%7C%7C&amp;sdata=KXRy4tdfcNo6eKTviCXs8zhcvng9Aa9FVEhg7y%2BbB5s%3D&amp;reserved=0" TargetMode="External"/><Relationship Id="rId20" Type="http://schemas.openxmlformats.org/officeDocument/2006/relationships/hyperlink" Target="https://studentwellbeinghub.edu.au/educators/resources/inclusion-getting-to-know-your-students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wellbeinghub.edu.au/educators/resources/start-of-school-jitters-time-capsule/" TargetMode="External"/><Relationship Id="rId24" Type="http://schemas.openxmlformats.org/officeDocument/2006/relationships/hyperlink" Target="https://www.abc.net.au/education/identity-racism-and-connection/135001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bc.net.au/education/digibooks/dust-echoes/101734324" TargetMode="External"/><Relationship Id="rId23" Type="http://schemas.openxmlformats.org/officeDocument/2006/relationships/hyperlink" Target="https://www.abc.net.au/education/the-australian-dream-cultural-identity/13590960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scootle.edu.au/ec/viewing/S7690/S7690_PS4Y007_generations/index.html" TargetMode="External"/><Relationship Id="rId19" Type="http://schemas.openxmlformats.org/officeDocument/2006/relationships/hyperlink" Target="https://www.abc.net.au/btn/hig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otle.edu.au/ec/viewing/A002430/docs/years_7-8/Respect_Y07-08_LS_T2-B.pdf" TargetMode="External"/><Relationship Id="rId14" Type="http://schemas.openxmlformats.org/officeDocument/2006/relationships/hyperlink" Target="https://www.scootle.edu.au/ec/viewing/S6594/ACSReconciliation/index.html" TargetMode="External"/><Relationship Id="rId22" Type="http://schemas.openxmlformats.org/officeDocument/2006/relationships/hyperlink" Target="https://studentwellbeinghub.edu.au/educators/resources/?audience%5b%5d=Educators&amp;keywords%5b%5d=respectful+relationships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Susan</dc:creator>
  <cp:keywords/>
  <dc:description/>
  <cp:lastModifiedBy>Tricia Scanlan</cp:lastModifiedBy>
  <cp:revision>3</cp:revision>
  <dcterms:created xsi:type="dcterms:W3CDTF">2024-05-19T23:18:00Z</dcterms:created>
  <dcterms:modified xsi:type="dcterms:W3CDTF">2024-05-21T03:38:00Z</dcterms:modified>
</cp:coreProperties>
</file>