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Pterygium Audit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Patient Age (years)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Sex: Male (1), Female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 the patient Māori, Pasifika, Aboriginal and/or Torres Strait Islander origin?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Was the surgery performed in a rural or remote setting? (MMM* 2-7)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Primary (1), Recurrent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BCVA pre-pterygium surgery (Snellen) eg 6/12 (no +/-)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Indication for excision :  Irritation (1),  Vision loss (2), Cosmetic (3), Other(4)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IOP pre-pterygium surgery (mmHg)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Size (width at limbus): &lt;2mm (0), 2-4mm (1), &gt;4mm (2)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Stop anti-coagulants pre-op : No (0), Yes (1), N/A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Procedure : Day (1), Overnight (2)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Anaesthetic : Topical (1), SubTenons (2), Peribulbar (3), General  Anaesthetic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Traction suture : None (0), Corneal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Mark the extent of the lesion with pen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Corneal Technique : Peel / Forceps (1), Scrape Blade (2), Burr (3), Alcohol (4) (Can be multiple)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you remove Head (1), Head and body (2), Head and body to Plica semilunaris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Extended removal of Tenon's tissue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Hook/sling the muscle/s : No (0), Hook (1), squint hook (2), Suture (3), Other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Technique : Bare sclera (0), Autoconjunctival graft (1), Sliding flap (2), Amniotic membrane (3), Other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Site of harvest of autoconjunctival graft : None(0), Superior (1), Inferior (2), Other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Graft Fixation : No Graft (0),  Vicryl (1), Nylon (2), Fibrin Glue (3), Combination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Type of fibrin glue : None (0), Tisseel (1), Artiss (2), Other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Subconjunctival antibiotics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Subconjunctival steroids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Time taken to complete procedure (mins)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Histopathology on specimen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Day 1 Review : No (0), Yes (1), Phone (3)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Duration of post-operative antibiotics : None (0), or in weeks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Duration of post-operative steroids : None (0), or in weeks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Post-operative non-steroidals : No (0),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Follow-up Review: No (0), Wk 1 (1), Wk 2 (2), Wk 3 (3), Wk 4 (4), Other (5) eg If wk 1&amp; 4, write 1,4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BCVA at final followup (Snellen) eg 6/12 (no +/-)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IOP at final followup (mmHg)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Dysplasia on histology: No (0)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followup &gt;6 months, was there a recurrence:  No (0) Yes (1)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long do you recommend followup: As required (1), 6 months( 2), 12 months (2), Longer (3), Other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