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alias w:val="Title"/>
        <w:tag w:val=""/>
        <w:id w:val="-1167164235"/>
        <w:placeholder>
          <w:docPart w:val="ED8491156C7B4245AC06D6774D68BFDD"/>
        </w:placeholder>
        <w:dataBinding w:prefixMappings="xmlns:ns0='http://purl.org/dc/elements/1.1/' xmlns:ns1='http://schemas.openxmlformats.org/package/2006/metadata/core-properties' " w:xpath="/ns1:coreProperties[1]/ns0:title[1]" w:storeItemID="{6C3C8BC8-F283-45AE-878A-BAB7291924A1}"/>
        <w:text/>
      </w:sdtPr>
      <w:sdtEndPr/>
      <w:sdtContent>
        <w:p w14:paraId="7AFF0696" w14:textId="23FA35E8" w:rsidR="00AA7F7E" w:rsidRPr="001C5EFD" w:rsidRDefault="00DB5A28" w:rsidP="001C5EFD">
          <w:pPr>
            <w:pStyle w:val="Title"/>
            <w:spacing w:before="100" w:beforeAutospacing="1"/>
            <w:jc w:val="center"/>
            <w:rPr>
              <w:b w:val="0"/>
              <w:bCs/>
              <w:sz w:val="28"/>
              <w:szCs w:val="28"/>
            </w:rPr>
          </w:pPr>
          <w:r w:rsidRPr="001C5EFD">
            <w:rPr>
              <w:sz w:val="28"/>
              <w:szCs w:val="28"/>
            </w:rPr>
            <w:t>Outlook of TfNSW Bridges &amp; Structures Standard</w:t>
          </w:r>
        </w:p>
      </w:sdtContent>
    </w:sdt>
    <w:p w14:paraId="24AC9836" w14:textId="6C0F41F8" w:rsidR="00A27FF3" w:rsidRDefault="0065444D" w:rsidP="00763BD0">
      <w:pPr>
        <w:pStyle w:val="Authorslist"/>
      </w:pPr>
      <w:r w:rsidRPr="0065444D">
        <w:t>Celestino Valdez</w:t>
      </w:r>
      <w:r w:rsidR="00DF646F">
        <w:t xml:space="preserve">, </w:t>
      </w:r>
      <w:r>
        <w:t>Senior Engineer Structures</w:t>
      </w:r>
      <w:r w:rsidR="008242CB" w:rsidRPr="008242CB">
        <w:t xml:space="preserve">, </w:t>
      </w:r>
      <w:r>
        <w:t>Transport for NSW</w:t>
      </w:r>
    </w:p>
    <w:p w14:paraId="0C5822DE" w14:textId="2F00B62B" w:rsidR="00A16ACB" w:rsidRDefault="0065444D" w:rsidP="00A16ACB">
      <w:pPr>
        <w:pStyle w:val="Authorslist"/>
      </w:pPr>
      <w:bookmarkStart w:id="0" w:name="_Hlk188221137"/>
      <w:r w:rsidRPr="0065444D">
        <w:t>Yew chuan Chong</w:t>
      </w:r>
      <w:r w:rsidR="00A16ACB">
        <w:t xml:space="preserve">, </w:t>
      </w:r>
      <w:r w:rsidRPr="0065444D">
        <w:t>Princ</w:t>
      </w:r>
      <w:r>
        <w:t>ipal</w:t>
      </w:r>
      <w:r w:rsidRPr="0065444D">
        <w:t xml:space="preserve"> Engineer Structures &amp; Bridges</w:t>
      </w:r>
      <w:r w:rsidR="00A16ACB" w:rsidRPr="008242CB">
        <w:t xml:space="preserve">, </w:t>
      </w:r>
      <w:r w:rsidRPr="0065444D">
        <w:t>Transport for NSW</w:t>
      </w:r>
    </w:p>
    <w:bookmarkEnd w:id="0"/>
    <w:p w14:paraId="2C3E4A8F" w14:textId="6B753170" w:rsidR="00A16ACB" w:rsidRDefault="0065444D" w:rsidP="00A16ACB">
      <w:pPr>
        <w:pStyle w:val="Authorslist"/>
      </w:pPr>
      <w:r>
        <w:t>Malcolm Peake</w:t>
      </w:r>
      <w:r w:rsidR="00A16ACB">
        <w:t xml:space="preserve">, </w:t>
      </w:r>
      <w:r w:rsidRPr="0065444D">
        <w:t>Senior Engineer Structures, Transport for NSW</w:t>
      </w:r>
    </w:p>
    <w:p w14:paraId="6CBF145B" w14:textId="77777777" w:rsidR="00835CC7" w:rsidRDefault="00835CC7" w:rsidP="00A16ACB">
      <w:pPr>
        <w:pStyle w:val="Authorslist"/>
      </w:pPr>
    </w:p>
    <w:p w14:paraId="797CE10A" w14:textId="77777777" w:rsidR="00835CC7" w:rsidRDefault="00835CC7" w:rsidP="00763BD0">
      <w:pPr>
        <w:pStyle w:val="Authorslist"/>
        <w:sectPr w:rsidR="00835CC7" w:rsidSect="00246595">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4C81E113" w14:textId="77777777" w:rsidTr="00763BD0">
        <w:tc>
          <w:tcPr>
            <w:tcW w:w="9016" w:type="dxa"/>
            <w:shd w:val="clear" w:color="auto" w:fill="F2F2F2" w:themeFill="background1" w:themeFillShade="F2"/>
          </w:tcPr>
          <w:p w14:paraId="46D231BF" w14:textId="77777777" w:rsidR="00763BD0" w:rsidRPr="00D9289D" w:rsidRDefault="00763BD0" w:rsidP="00D9289D">
            <w:pPr>
              <w:rPr>
                <w:b/>
                <w:bCs/>
              </w:rPr>
            </w:pPr>
            <w:r w:rsidRPr="00D9289D">
              <w:rPr>
                <w:b/>
                <w:bCs/>
              </w:rPr>
              <w:t>Abstract</w:t>
            </w:r>
          </w:p>
          <w:p w14:paraId="21EA8294" w14:textId="069D696E" w:rsidR="0065444D" w:rsidRPr="0065444D" w:rsidRDefault="0065444D" w:rsidP="0065444D">
            <w:pPr>
              <w:rPr>
                <w:rFonts w:cs="Arial"/>
                <w:szCs w:val="20"/>
                <w:lang w:eastAsia="en-AU"/>
              </w:rPr>
            </w:pPr>
            <w:r w:rsidRPr="0065444D">
              <w:rPr>
                <w:rFonts w:cs="Arial"/>
                <w:szCs w:val="20"/>
                <w:lang w:eastAsia="en-AU"/>
              </w:rPr>
              <w:t>Transport for NSW (TfNSW) is responsible for strategy, planning, policy, regulation, funding allocation and other non-service delivery functions for all modes of transport in NSW including road, rail, public transport, ferry, light rail, cycling and walking.</w:t>
            </w:r>
          </w:p>
          <w:p w14:paraId="3CA02907" w14:textId="219B643F" w:rsidR="0065444D" w:rsidRPr="0065444D" w:rsidRDefault="0065444D" w:rsidP="0065444D">
            <w:pPr>
              <w:rPr>
                <w:rFonts w:cs="Arial"/>
                <w:szCs w:val="20"/>
                <w:lang w:eastAsia="en-AU"/>
              </w:rPr>
            </w:pPr>
            <w:r w:rsidRPr="0065444D">
              <w:rPr>
                <w:rFonts w:cs="Arial"/>
                <w:szCs w:val="20"/>
                <w:lang w:eastAsia="en-AU"/>
              </w:rPr>
              <w:t>Under TfNSW Standards Management Framework</w:t>
            </w:r>
            <w:r w:rsidR="00D01F73">
              <w:rPr>
                <w:rFonts w:cs="Arial"/>
                <w:szCs w:val="20"/>
                <w:lang w:eastAsia="en-AU"/>
              </w:rPr>
              <w:t xml:space="preserve"> (SMF)</w:t>
            </w:r>
            <w:r w:rsidRPr="0065444D">
              <w:rPr>
                <w:rFonts w:cs="Arial"/>
                <w:szCs w:val="20"/>
                <w:lang w:eastAsia="en-AU"/>
              </w:rPr>
              <w:t xml:space="preserve">, one of the key initiatives is the development of multi-modal bridges and structures standard. The </w:t>
            </w:r>
            <w:r w:rsidR="00800C13" w:rsidRPr="0065444D">
              <w:rPr>
                <w:rFonts w:cs="Arial"/>
                <w:szCs w:val="20"/>
                <w:lang w:eastAsia="en-AU"/>
              </w:rPr>
              <w:t>goal</w:t>
            </w:r>
            <w:r w:rsidRPr="0065444D">
              <w:rPr>
                <w:rFonts w:cs="Arial"/>
                <w:szCs w:val="20"/>
                <w:lang w:eastAsia="en-AU"/>
              </w:rPr>
              <w:t xml:space="preserve"> of the proposed standard is </w:t>
            </w:r>
            <w:r w:rsidR="00A50EBC" w:rsidRPr="0065444D">
              <w:rPr>
                <w:rFonts w:cs="Arial"/>
                <w:szCs w:val="20"/>
                <w:lang w:eastAsia="en-AU"/>
              </w:rPr>
              <w:t>combining</w:t>
            </w:r>
            <w:r w:rsidRPr="0065444D">
              <w:rPr>
                <w:rFonts w:cs="Arial"/>
                <w:szCs w:val="20"/>
                <w:lang w:eastAsia="en-AU"/>
              </w:rPr>
              <w:t xml:space="preserve"> existing TfNSW Standard artefacts, which were previously developed for specific transport mode. These mode specific standards include, but not limited to:</w:t>
            </w:r>
          </w:p>
          <w:p w14:paraId="6752D366" w14:textId="53AFE4D7" w:rsidR="0065444D" w:rsidRPr="0065444D" w:rsidRDefault="0065444D" w:rsidP="0065444D">
            <w:pPr>
              <w:pStyle w:val="ListParagraph"/>
              <w:numPr>
                <w:ilvl w:val="0"/>
                <w:numId w:val="9"/>
              </w:numPr>
              <w:rPr>
                <w:rFonts w:cs="Arial"/>
                <w:szCs w:val="20"/>
                <w:lang w:eastAsia="en-AU"/>
              </w:rPr>
            </w:pPr>
            <w:r w:rsidRPr="0065444D">
              <w:rPr>
                <w:rFonts w:cs="Arial"/>
                <w:szCs w:val="20"/>
                <w:lang w:eastAsia="en-AU"/>
              </w:rPr>
              <w:t>TfNSW Scope of Work and Technical Criteria documents used for D&amp;C Projects</w:t>
            </w:r>
          </w:p>
          <w:p w14:paraId="6F84D26F" w14:textId="1533FC32" w:rsidR="0065444D" w:rsidRPr="0065444D" w:rsidRDefault="0065444D" w:rsidP="0065444D">
            <w:pPr>
              <w:pStyle w:val="ListParagraph"/>
              <w:numPr>
                <w:ilvl w:val="0"/>
                <w:numId w:val="9"/>
              </w:numPr>
              <w:rPr>
                <w:rFonts w:cs="Arial"/>
                <w:szCs w:val="20"/>
                <w:lang w:eastAsia="en-AU"/>
              </w:rPr>
            </w:pPr>
            <w:r w:rsidRPr="0065444D">
              <w:rPr>
                <w:rFonts w:cs="Arial"/>
                <w:szCs w:val="20"/>
                <w:lang w:eastAsia="en-AU"/>
              </w:rPr>
              <w:t xml:space="preserve">TfNSW PS Series PS261 and PS361 technical requirement documents used for design only </w:t>
            </w:r>
            <w:r w:rsidR="00641122" w:rsidRPr="0065444D">
              <w:rPr>
                <w:rFonts w:cs="Arial"/>
                <w:szCs w:val="20"/>
                <w:lang w:eastAsia="en-AU"/>
              </w:rPr>
              <w:t>Projects.</w:t>
            </w:r>
          </w:p>
          <w:p w14:paraId="5589D91E" w14:textId="5A948E3A" w:rsidR="0065444D" w:rsidRPr="0065444D" w:rsidRDefault="0065444D" w:rsidP="0065444D">
            <w:pPr>
              <w:pStyle w:val="ListParagraph"/>
              <w:numPr>
                <w:ilvl w:val="0"/>
                <w:numId w:val="9"/>
              </w:numPr>
              <w:rPr>
                <w:rFonts w:cs="Arial"/>
                <w:szCs w:val="20"/>
                <w:lang w:eastAsia="en-AU"/>
              </w:rPr>
            </w:pPr>
            <w:r w:rsidRPr="0065444D">
              <w:rPr>
                <w:rFonts w:cs="Arial"/>
                <w:szCs w:val="20"/>
                <w:lang w:eastAsia="en-AU"/>
              </w:rPr>
              <w:t>Bridge Technical Direction Manual</w:t>
            </w:r>
          </w:p>
          <w:p w14:paraId="5D3ACC30" w14:textId="30E10969" w:rsidR="0065444D" w:rsidRPr="0065444D" w:rsidRDefault="0065444D" w:rsidP="0065444D">
            <w:pPr>
              <w:pStyle w:val="ListParagraph"/>
              <w:numPr>
                <w:ilvl w:val="0"/>
                <w:numId w:val="9"/>
              </w:numPr>
              <w:rPr>
                <w:rFonts w:cs="Arial"/>
                <w:szCs w:val="20"/>
                <w:lang w:eastAsia="en-AU"/>
              </w:rPr>
            </w:pPr>
            <w:r w:rsidRPr="0065444D">
              <w:rPr>
                <w:rFonts w:cs="Arial"/>
                <w:szCs w:val="20"/>
                <w:lang w:eastAsia="en-AU"/>
              </w:rPr>
              <w:t>T HR CI 12030 ST Overbridges and Footbridges standard</w:t>
            </w:r>
          </w:p>
          <w:p w14:paraId="3BBED558" w14:textId="07114D3A" w:rsidR="0065444D" w:rsidRPr="0065444D" w:rsidRDefault="0065444D" w:rsidP="0065444D">
            <w:pPr>
              <w:rPr>
                <w:rFonts w:cs="Arial"/>
                <w:szCs w:val="20"/>
                <w:lang w:eastAsia="en-AU"/>
              </w:rPr>
            </w:pPr>
            <w:r w:rsidRPr="0065444D">
              <w:rPr>
                <w:rFonts w:cs="Arial"/>
                <w:szCs w:val="20"/>
                <w:lang w:eastAsia="en-AU"/>
              </w:rPr>
              <w:t xml:space="preserve">The proposed standard will aim to supplement AS 5100 Bridge Design, and address matters for resolutions in AS5100. TfNSW will also update existing technical criteria and introduce new technical criteria through collaborative engagement with internal and external stakeholders. The standard will provide </w:t>
            </w:r>
            <w:r w:rsidR="00A50EBC" w:rsidRPr="0065444D">
              <w:rPr>
                <w:rFonts w:cs="Arial"/>
                <w:szCs w:val="20"/>
                <w:lang w:eastAsia="en-AU"/>
              </w:rPr>
              <w:t>an only source</w:t>
            </w:r>
            <w:r w:rsidRPr="0065444D">
              <w:rPr>
                <w:rFonts w:cs="Arial"/>
                <w:szCs w:val="20"/>
                <w:lang w:eastAsia="en-AU"/>
              </w:rPr>
              <w:t xml:space="preserve"> of technical requirements for TfNSW bridges and structures.</w:t>
            </w:r>
          </w:p>
          <w:p w14:paraId="5F81467C" w14:textId="1FCA536F" w:rsidR="0065444D" w:rsidRDefault="0065444D" w:rsidP="0065444D">
            <w:pPr>
              <w:rPr>
                <w:rFonts w:cs="Arial"/>
                <w:szCs w:val="20"/>
                <w:lang w:eastAsia="en-AU"/>
              </w:rPr>
            </w:pPr>
            <w:r w:rsidRPr="0065444D">
              <w:rPr>
                <w:rFonts w:cs="Arial"/>
                <w:szCs w:val="20"/>
                <w:lang w:eastAsia="en-AU"/>
              </w:rPr>
              <w:t xml:space="preserve">Notwithstanding, the development of multi-modal bridges and structures standard will </w:t>
            </w:r>
            <w:r w:rsidR="00800C13" w:rsidRPr="0065444D">
              <w:rPr>
                <w:rFonts w:cs="Arial"/>
                <w:szCs w:val="20"/>
                <w:lang w:eastAsia="en-AU"/>
              </w:rPr>
              <w:t>reach</w:t>
            </w:r>
            <w:r w:rsidRPr="0065444D">
              <w:rPr>
                <w:rFonts w:cs="Arial"/>
                <w:szCs w:val="20"/>
                <w:lang w:eastAsia="en-AU"/>
              </w:rPr>
              <w:t xml:space="preserve"> hybrid technical criteria covering prescriptive acceptance criteria, risk based and performance-based outcome requirements. This will enable intelligent compliance through improving industry collaboration, promoting innovation solution, achieving sustainable outcomes on projects and evolving with advancements in technology and industry practice.</w:t>
            </w:r>
          </w:p>
          <w:p w14:paraId="78C7F6F2" w14:textId="72F37DF9" w:rsidR="00763BD0" w:rsidRPr="00A27FF3" w:rsidRDefault="00763BD0" w:rsidP="0065444D">
            <w:r w:rsidRPr="00763BD0">
              <w:rPr>
                <w:b/>
                <w:bCs/>
              </w:rPr>
              <w:t>Keywords:</w:t>
            </w:r>
            <w:r>
              <w:t xml:space="preserve"> </w:t>
            </w:r>
            <w:r w:rsidR="005471FA">
              <w:t xml:space="preserve"> </w:t>
            </w:r>
            <w:r w:rsidR="0065444D">
              <w:t>bridges</w:t>
            </w:r>
            <w:r w:rsidR="005471FA">
              <w:t xml:space="preserve">, </w:t>
            </w:r>
            <w:r w:rsidR="00FE6718">
              <w:t>structures</w:t>
            </w:r>
            <w:r w:rsidR="005471FA">
              <w:t xml:space="preserve">, </w:t>
            </w:r>
            <w:r w:rsidR="00FE6718">
              <w:t>standards</w:t>
            </w:r>
            <w:r w:rsidR="005471FA">
              <w:t xml:space="preserve">, </w:t>
            </w:r>
            <w:r w:rsidR="00FE6718">
              <w:t>AS5100</w:t>
            </w:r>
            <w:r w:rsidR="005471FA">
              <w:t xml:space="preserve">, </w:t>
            </w:r>
            <w:r w:rsidR="00FE6718">
              <w:t>Transport for NSW</w:t>
            </w:r>
          </w:p>
          <w:p w14:paraId="2A59A7AA" w14:textId="77777777" w:rsidR="00763BD0" w:rsidRDefault="00763BD0" w:rsidP="00763BD0">
            <w:pPr>
              <w:pStyle w:val="Authorslist"/>
            </w:pPr>
          </w:p>
        </w:tc>
      </w:tr>
    </w:tbl>
    <w:p w14:paraId="2DA47836" w14:textId="4A2648CD" w:rsidR="00FD708F" w:rsidRPr="00FD708F" w:rsidRDefault="00DB5A28" w:rsidP="009E6861">
      <w:pPr>
        <w:pStyle w:val="Heading1"/>
      </w:pPr>
      <w:r>
        <w:t>Introduction</w:t>
      </w:r>
    </w:p>
    <w:p w14:paraId="532AF522" w14:textId="25563179" w:rsidR="00480811" w:rsidRPr="00226577" w:rsidRDefault="00DB5A28" w:rsidP="00406B94">
      <w:pPr>
        <w:spacing w:line="240" w:lineRule="auto"/>
        <w:jc w:val="both"/>
        <w:rPr>
          <w:sz w:val="22"/>
        </w:rPr>
      </w:pPr>
      <w:r w:rsidRPr="00226577">
        <w:rPr>
          <w:sz w:val="22"/>
        </w:rPr>
        <w:t xml:space="preserve">TfNSW Standards were developed for a specific mode of transport and by different operating agencies in the past. Large numbers of existing standard artefacts </w:t>
      </w:r>
      <w:r w:rsidR="00870055" w:rsidRPr="00226577">
        <w:rPr>
          <w:sz w:val="22"/>
        </w:rPr>
        <w:t>create</w:t>
      </w:r>
      <w:r w:rsidRPr="00226577">
        <w:rPr>
          <w:sz w:val="22"/>
        </w:rPr>
        <w:t xml:space="preserve"> challenges to a harmonised approach and a drive for consistent requirements across all modes. There is a need to clarify the order of precedence related to standards application in projects for specific transport modes. With the large technical knowledge database and SMEs’ expertise in TfNSW, there is an opportunity to </w:t>
      </w:r>
      <w:r w:rsidR="00800C13" w:rsidRPr="00226577">
        <w:rPr>
          <w:sz w:val="22"/>
        </w:rPr>
        <w:t>combine</w:t>
      </w:r>
      <w:r w:rsidRPr="00226577">
        <w:rPr>
          <w:sz w:val="22"/>
        </w:rPr>
        <w:t xml:space="preserve"> TfNSW standards or technical requirements into harmonised multi-modal standards. </w:t>
      </w:r>
    </w:p>
    <w:p w14:paraId="79B75D8B" w14:textId="7D0FE5D5" w:rsidR="00565DAC" w:rsidRDefault="00DB5A28" w:rsidP="00406B94">
      <w:pPr>
        <w:spacing w:line="240" w:lineRule="auto"/>
        <w:jc w:val="both"/>
        <w:rPr>
          <w:sz w:val="22"/>
        </w:rPr>
      </w:pPr>
      <w:r w:rsidRPr="001A35AE">
        <w:rPr>
          <w:sz w:val="22"/>
        </w:rPr>
        <w:lastRenderedPageBreak/>
        <w:t xml:space="preserve">With all agencies’ standards brought under the custodian of the Asset Management Branch TfNSW, the structures and bridges cohort </w:t>
      </w:r>
      <w:r w:rsidR="00870055" w:rsidRPr="001A35AE">
        <w:rPr>
          <w:sz w:val="22"/>
        </w:rPr>
        <w:t>are</w:t>
      </w:r>
      <w:r w:rsidRPr="001A35AE">
        <w:rPr>
          <w:sz w:val="22"/>
        </w:rPr>
        <w:t xml:space="preserve"> actively reviewing and identifying outdated</w:t>
      </w:r>
      <w:r w:rsidR="00406B94" w:rsidRPr="001A35AE">
        <w:rPr>
          <w:sz w:val="22"/>
        </w:rPr>
        <w:t>/</w:t>
      </w:r>
      <w:r w:rsidRPr="001A35AE">
        <w:rPr>
          <w:sz w:val="22"/>
        </w:rPr>
        <w:t xml:space="preserve">unused standard artefacts </w:t>
      </w:r>
      <w:r w:rsidR="00406B94" w:rsidRPr="001A35AE">
        <w:rPr>
          <w:sz w:val="22"/>
        </w:rPr>
        <w:t>and identifying gaps</w:t>
      </w:r>
      <w:r w:rsidR="00805999">
        <w:rPr>
          <w:sz w:val="22"/>
        </w:rPr>
        <w:t xml:space="preserve"> or </w:t>
      </w:r>
      <w:r w:rsidR="00406B94" w:rsidRPr="001A35AE">
        <w:rPr>
          <w:sz w:val="22"/>
        </w:rPr>
        <w:t xml:space="preserve">missing technical requirements </w:t>
      </w:r>
      <w:r w:rsidRPr="001A35AE">
        <w:rPr>
          <w:sz w:val="22"/>
        </w:rPr>
        <w:t>through consultation with internal stakeholders.</w:t>
      </w:r>
      <w:r w:rsidR="00057DA0" w:rsidRPr="001A35AE">
        <w:rPr>
          <w:sz w:val="22"/>
        </w:rPr>
        <w:t xml:space="preserve"> </w:t>
      </w:r>
    </w:p>
    <w:p w14:paraId="253540C0" w14:textId="3BD736B2" w:rsidR="00870055" w:rsidRPr="001A35AE" w:rsidRDefault="00870055" w:rsidP="00870055">
      <w:pPr>
        <w:spacing w:line="240" w:lineRule="auto"/>
        <w:jc w:val="both"/>
        <w:rPr>
          <w:sz w:val="22"/>
        </w:rPr>
      </w:pPr>
      <w:r w:rsidRPr="00870055">
        <w:rPr>
          <w:sz w:val="22"/>
        </w:rPr>
        <w:t>There are a full suite of bridges and structures technical design requirements stipulated in the different D</w:t>
      </w:r>
      <w:r w:rsidR="00805999">
        <w:rPr>
          <w:sz w:val="22"/>
        </w:rPr>
        <w:t xml:space="preserve">esign and </w:t>
      </w:r>
      <w:r w:rsidRPr="00870055">
        <w:rPr>
          <w:sz w:val="22"/>
        </w:rPr>
        <w:t>C</w:t>
      </w:r>
      <w:r w:rsidR="00805999">
        <w:rPr>
          <w:sz w:val="22"/>
        </w:rPr>
        <w:t>onstruct (D&amp;C)</w:t>
      </w:r>
      <w:r w:rsidRPr="00870055">
        <w:rPr>
          <w:sz w:val="22"/>
        </w:rPr>
        <w:t xml:space="preserve"> Scope</w:t>
      </w:r>
      <w:r>
        <w:rPr>
          <w:sz w:val="22"/>
        </w:rPr>
        <w:t xml:space="preserve"> </w:t>
      </w:r>
      <w:r w:rsidRPr="00870055">
        <w:rPr>
          <w:sz w:val="22"/>
        </w:rPr>
        <w:t>of Work and Technical Criteria (SWTC) documents and the Professional Services Contract PS 261</w:t>
      </w:r>
      <w:r w:rsidR="00805999">
        <w:rPr>
          <w:sz w:val="22"/>
        </w:rPr>
        <w:t xml:space="preserve"> and</w:t>
      </w:r>
      <w:r w:rsidRPr="00870055">
        <w:rPr>
          <w:sz w:val="22"/>
        </w:rPr>
        <w:t xml:space="preserve"> PS 361, which</w:t>
      </w:r>
      <w:r>
        <w:rPr>
          <w:sz w:val="22"/>
        </w:rPr>
        <w:t xml:space="preserve"> </w:t>
      </w:r>
      <w:r w:rsidRPr="00870055">
        <w:rPr>
          <w:sz w:val="22"/>
        </w:rPr>
        <w:t>are commonly included as part of project contract documents. The requirements are applicable to the design of</w:t>
      </w:r>
      <w:r>
        <w:rPr>
          <w:sz w:val="22"/>
        </w:rPr>
        <w:t xml:space="preserve"> </w:t>
      </w:r>
      <w:r w:rsidRPr="00870055">
        <w:rPr>
          <w:sz w:val="22"/>
        </w:rPr>
        <w:t xml:space="preserve">structures and bridges and are essential for the safe and reliable construction and operation of </w:t>
      </w:r>
      <w:proofErr w:type="spellStart"/>
      <w:r w:rsidRPr="00870055">
        <w:rPr>
          <w:sz w:val="22"/>
        </w:rPr>
        <w:t>TfNSW’s</w:t>
      </w:r>
      <w:proofErr w:type="spellEnd"/>
      <w:r w:rsidRPr="00870055">
        <w:rPr>
          <w:sz w:val="22"/>
        </w:rPr>
        <w:t xml:space="preserve"> bridge</w:t>
      </w:r>
      <w:r>
        <w:rPr>
          <w:sz w:val="22"/>
        </w:rPr>
        <w:t xml:space="preserve"> </w:t>
      </w:r>
      <w:r w:rsidRPr="00870055">
        <w:rPr>
          <w:sz w:val="22"/>
        </w:rPr>
        <w:t>assets. An initiative has been identified to consolidate the technical requirements of the SWTCs and PS 261 / PS</w:t>
      </w:r>
      <w:r>
        <w:rPr>
          <w:sz w:val="22"/>
        </w:rPr>
        <w:t xml:space="preserve"> </w:t>
      </w:r>
      <w:r w:rsidRPr="00870055">
        <w:rPr>
          <w:sz w:val="22"/>
        </w:rPr>
        <w:t>361, as well as several BTDs, and potentially T HR CI 12030 ST Overbridges and Footbridges</w:t>
      </w:r>
      <w:r w:rsidR="00F30CA9">
        <w:rPr>
          <w:sz w:val="22"/>
        </w:rPr>
        <w:t xml:space="preserve"> </w:t>
      </w:r>
      <w:r w:rsidR="00F527D8">
        <w:rPr>
          <w:sz w:val="22"/>
        </w:rPr>
        <w:t xml:space="preserve">which is </w:t>
      </w:r>
      <w:r w:rsidR="00F30CA9">
        <w:rPr>
          <w:sz w:val="22"/>
        </w:rPr>
        <w:t xml:space="preserve">used for </w:t>
      </w:r>
      <w:r w:rsidR="00216927">
        <w:rPr>
          <w:sz w:val="22"/>
        </w:rPr>
        <w:t>heavy rail projects</w:t>
      </w:r>
      <w:r w:rsidR="00F527D8">
        <w:rPr>
          <w:sz w:val="22"/>
        </w:rPr>
        <w:t>,</w:t>
      </w:r>
      <w:r w:rsidRPr="00870055">
        <w:rPr>
          <w:sz w:val="22"/>
        </w:rPr>
        <w:t xml:space="preserve"> into a single source</w:t>
      </w:r>
      <w:r>
        <w:rPr>
          <w:sz w:val="22"/>
        </w:rPr>
        <w:t xml:space="preserve"> </w:t>
      </w:r>
      <w:r w:rsidRPr="00870055">
        <w:rPr>
          <w:sz w:val="22"/>
        </w:rPr>
        <w:t>of truth Bridges &amp; Structures Design Standard.</w:t>
      </w:r>
    </w:p>
    <w:p w14:paraId="5DC79CC9" w14:textId="6132F758" w:rsidR="00870055" w:rsidRDefault="00057DA0" w:rsidP="00406B94">
      <w:pPr>
        <w:spacing w:line="240" w:lineRule="auto"/>
        <w:jc w:val="both"/>
        <w:rPr>
          <w:sz w:val="22"/>
        </w:rPr>
      </w:pPr>
      <w:r w:rsidRPr="001A35AE">
        <w:rPr>
          <w:sz w:val="22"/>
        </w:rPr>
        <w:t xml:space="preserve">The target outcome with the development of multi modal Bridges &amp; Structures Standard is to </w:t>
      </w:r>
      <w:r w:rsidR="00565DAC" w:rsidRPr="001A35AE">
        <w:rPr>
          <w:sz w:val="22"/>
        </w:rPr>
        <w:t xml:space="preserve">confirm that standards </w:t>
      </w:r>
      <w:r w:rsidR="00800C13" w:rsidRPr="001A35AE">
        <w:rPr>
          <w:sz w:val="22"/>
        </w:rPr>
        <w:t>needed</w:t>
      </w:r>
      <w:r w:rsidR="00565DAC" w:rsidRPr="001A35AE">
        <w:rPr>
          <w:sz w:val="22"/>
        </w:rPr>
        <w:t xml:space="preserve"> for road and rail projects </w:t>
      </w:r>
      <w:r w:rsidR="00D7494E">
        <w:rPr>
          <w:sz w:val="22"/>
        </w:rPr>
        <w:t>will</w:t>
      </w:r>
      <w:r w:rsidR="00565DAC" w:rsidRPr="001A35AE">
        <w:rPr>
          <w:sz w:val="22"/>
        </w:rPr>
        <w:t xml:space="preserve"> complement each other and ideal for amalgamation.</w:t>
      </w:r>
      <w:r w:rsidR="001A7967">
        <w:rPr>
          <w:sz w:val="22"/>
        </w:rPr>
        <w:t xml:space="preserve"> The proposed new standard will </w:t>
      </w:r>
      <w:r w:rsidR="00444B80">
        <w:rPr>
          <w:sz w:val="22"/>
        </w:rPr>
        <w:t>consolidate</w:t>
      </w:r>
      <w:r w:rsidR="00565DAC" w:rsidRPr="001A35AE">
        <w:rPr>
          <w:sz w:val="22"/>
        </w:rPr>
        <w:t xml:space="preserve"> </w:t>
      </w:r>
      <w:r w:rsidR="00555710">
        <w:rPr>
          <w:sz w:val="22"/>
        </w:rPr>
        <w:t xml:space="preserve">road mode and rail mode </w:t>
      </w:r>
      <w:r w:rsidR="00565DAC" w:rsidRPr="001A35AE">
        <w:rPr>
          <w:sz w:val="22"/>
        </w:rPr>
        <w:t>standards</w:t>
      </w:r>
      <w:r w:rsidR="00E207C5">
        <w:rPr>
          <w:sz w:val="22"/>
        </w:rPr>
        <w:t xml:space="preserve">, which </w:t>
      </w:r>
      <w:r w:rsidR="00565DAC" w:rsidRPr="001A35AE">
        <w:rPr>
          <w:sz w:val="22"/>
        </w:rPr>
        <w:t xml:space="preserve">have extensive design criteria, supplementary requirements and </w:t>
      </w:r>
      <w:r w:rsidR="00444691" w:rsidRPr="001A35AE">
        <w:rPr>
          <w:sz w:val="22"/>
        </w:rPr>
        <w:t>substantial number</w:t>
      </w:r>
      <w:r w:rsidR="00565DAC" w:rsidRPr="001A35AE">
        <w:rPr>
          <w:sz w:val="22"/>
        </w:rPr>
        <w:t xml:space="preserve"> of standard artefacts on topical issue</w:t>
      </w:r>
      <w:r w:rsidR="00DD0185">
        <w:rPr>
          <w:sz w:val="22"/>
        </w:rPr>
        <w:t xml:space="preserve"> for design of bridges and structures</w:t>
      </w:r>
      <w:r w:rsidR="00565DAC" w:rsidRPr="001A35AE">
        <w:rPr>
          <w:sz w:val="22"/>
        </w:rPr>
        <w:t xml:space="preserve">. </w:t>
      </w:r>
    </w:p>
    <w:p w14:paraId="2ED7630F" w14:textId="10F22C17" w:rsidR="00351D92" w:rsidRDefault="00351D92" w:rsidP="00351D92">
      <w:pPr>
        <w:pStyle w:val="Heading2"/>
      </w:pPr>
      <w:r>
        <w:t>Background</w:t>
      </w:r>
    </w:p>
    <w:p w14:paraId="4FABEFE7" w14:textId="014C24A1" w:rsidR="00351D92" w:rsidRPr="00870055" w:rsidRDefault="00351D92" w:rsidP="00351D92">
      <w:pPr>
        <w:spacing w:line="240" w:lineRule="auto"/>
        <w:jc w:val="both"/>
        <w:rPr>
          <w:sz w:val="22"/>
        </w:rPr>
      </w:pPr>
      <w:r w:rsidRPr="00870055">
        <w:rPr>
          <w:sz w:val="22"/>
        </w:rPr>
        <w:t xml:space="preserve">Current Transport design requirements related to bridges and structures include artefacts produced and published by TfNSW Asset Management Branch (AMB) and artefacts produced by other TfNSW divisions and its agents that have responsibility for managing </w:t>
      </w:r>
      <w:r w:rsidR="00A50EBC" w:rsidRPr="00870055">
        <w:rPr>
          <w:sz w:val="22"/>
        </w:rPr>
        <w:t>separate phases</w:t>
      </w:r>
      <w:r w:rsidRPr="00870055">
        <w:rPr>
          <w:sz w:val="22"/>
        </w:rPr>
        <w:t xml:space="preserve"> of the asset life cycle for the</w:t>
      </w:r>
      <w:r w:rsidR="00480811" w:rsidRPr="00870055">
        <w:rPr>
          <w:sz w:val="22"/>
        </w:rPr>
        <w:t xml:space="preserve"> </w:t>
      </w:r>
      <w:r w:rsidRPr="00870055">
        <w:rPr>
          <w:sz w:val="22"/>
        </w:rPr>
        <w:t xml:space="preserve">different transport modes. </w:t>
      </w:r>
      <w:r w:rsidR="00D85C07">
        <w:rPr>
          <w:sz w:val="22"/>
        </w:rPr>
        <w:t>T</w:t>
      </w:r>
      <w:r w:rsidRPr="00870055">
        <w:rPr>
          <w:sz w:val="22"/>
        </w:rPr>
        <w:t>echnical documents outlining bridges and structures requirements include:</w:t>
      </w:r>
    </w:p>
    <w:p w14:paraId="121F5720" w14:textId="77777777" w:rsidR="00351D92" w:rsidRPr="00F80AEC" w:rsidRDefault="00351D92" w:rsidP="00351D92">
      <w:pPr>
        <w:pStyle w:val="ListParagraph"/>
        <w:ind w:left="284" w:hanging="284"/>
        <w:rPr>
          <w:sz w:val="22"/>
        </w:rPr>
      </w:pPr>
      <w:r w:rsidRPr="00F80AEC">
        <w:rPr>
          <w:sz w:val="22"/>
        </w:rPr>
        <w:t>AMB Standards, such as T HR CI 12030 ST Overbridges and Footbridges and T HR CI 12020 ST Underbridges</w:t>
      </w:r>
    </w:p>
    <w:p w14:paraId="575E10CF" w14:textId="77777777" w:rsidR="00351D92" w:rsidRPr="00F80AEC" w:rsidRDefault="00351D92" w:rsidP="00351D92">
      <w:pPr>
        <w:pStyle w:val="ListParagraph"/>
        <w:ind w:left="284" w:hanging="284"/>
        <w:rPr>
          <w:sz w:val="22"/>
        </w:rPr>
      </w:pPr>
      <w:r w:rsidRPr="00F80AEC">
        <w:rPr>
          <w:sz w:val="22"/>
        </w:rPr>
        <w:t>TfNSW Bridge Technical Direction Manual (BTDs)</w:t>
      </w:r>
    </w:p>
    <w:p w14:paraId="4EB7B927" w14:textId="77777777" w:rsidR="00351D92" w:rsidRPr="00F80AEC" w:rsidRDefault="00351D92" w:rsidP="00351D92">
      <w:pPr>
        <w:pStyle w:val="ListParagraph"/>
        <w:ind w:left="284" w:hanging="284"/>
        <w:rPr>
          <w:sz w:val="22"/>
        </w:rPr>
      </w:pPr>
      <w:r w:rsidRPr="00F80AEC">
        <w:rPr>
          <w:sz w:val="22"/>
        </w:rPr>
        <w:t>D&amp;C Projects - Scope of Work and Technical Criteria (SWTC)</w:t>
      </w:r>
    </w:p>
    <w:p w14:paraId="7946F2D8" w14:textId="1C9F7CC4" w:rsidR="00351D92" w:rsidRPr="00F80AEC" w:rsidRDefault="00351D92" w:rsidP="00351D92">
      <w:pPr>
        <w:pStyle w:val="ListParagraph"/>
        <w:ind w:left="284" w:hanging="284"/>
        <w:rPr>
          <w:sz w:val="22"/>
        </w:rPr>
      </w:pPr>
      <w:r w:rsidRPr="00F80AEC">
        <w:rPr>
          <w:sz w:val="22"/>
        </w:rPr>
        <w:t>Design Projects – Professional</w:t>
      </w:r>
      <w:r w:rsidR="00B07E77">
        <w:rPr>
          <w:sz w:val="22"/>
        </w:rPr>
        <w:t xml:space="preserve"> Services</w:t>
      </w:r>
      <w:r w:rsidRPr="00F80AEC">
        <w:rPr>
          <w:sz w:val="22"/>
        </w:rPr>
        <w:t xml:space="preserve"> Series such as PS301, PS261 and PS361. </w:t>
      </w:r>
    </w:p>
    <w:p w14:paraId="31DF34F7" w14:textId="77777777" w:rsidR="00351D92" w:rsidRPr="00F80AEC" w:rsidRDefault="00351D92" w:rsidP="00351D92">
      <w:pPr>
        <w:pStyle w:val="ListParagraph"/>
        <w:ind w:left="284" w:hanging="284"/>
        <w:rPr>
          <w:sz w:val="22"/>
        </w:rPr>
      </w:pPr>
      <w:r w:rsidRPr="00F80AEC">
        <w:rPr>
          <w:sz w:val="22"/>
        </w:rPr>
        <w:t>TfNSW Standard Drawings</w:t>
      </w:r>
    </w:p>
    <w:p w14:paraId="5AFFC22B" w14:textId="35C205F0" w:rsidR="00351D92" w:rsidRPr="00F80AEC" w:rsidRDefault="00351D92" w:rsidP="00351D92">
      <w:pPr>
        <w:pStyle w:val="ListParagraph"/>
        <w:ind w:left="284" w:hanging="284"/>
        <w:rPr>
          <w:sz w:val="22"/>
        </w:rPr>
      </w:pPr>
      <w:r w:rsidRPr="00F80AEC">
        <w:rPr>
          <w:sz w:val="22"/>
        </w:rPr>
        <w:t xml:space="preserve">TfNSW </w:t>
      </w:r>
      <w:r w:rsidR="00B07E77">
        <w:rPr>
          <w:sz w:val="22"/>
        </w:rPr>
        <w:t xml:space="preserve">Bridgework </w:t>
      </w:r>
      <w:r w:rsidR="009A2C55">
        <w:rPr>
          <w:sz w:val="22"/>
        </w:rPr>
        <w:t xml:space="preserve">and Austroads Technical </w:t>
      </w:r>
      <w:r w:rsidRPr="00F80AEC">
        <w:rPr>
          <w:sz w:val="22"/>
        </w:rPr>
        <w:t>Specifications</w:t>
      </w:r>
    </w:p>
    <w:p w14:paraId="20C8CEAE" w14:textId="77777777" w:rsidR="00351D92" w:rsidRPr="00F80AEC" w:rsidRDefault="00351D92" w:rsidP="00351D92">
      <w:pPr>
        <w:pStyle w:val="ListParagraph"/>
        <w:ind w:left="284" w:hanging="284"/>
        <w:rPr>
          <w:sz w:val="22"/>
        </w:rPr>
      </w:pPr>
      <w:r w:rsidRPr="00F80AEC">
        <w:rPr>
          <w:sz w:val="22"/>
        </w:rPr>
        <w:t>Structural Detailing and Drafting Manual</w:t>
      </w:r>
    </w:p>
    <w:p w14:paraId="52ADA1A2" w14:textId="4B3320A6" w:rsidR="00351D92" w:rsidRPr="00F80AEC" w:rsidRDefault="00351D92" w:rsidP="00351D92">
      <w:pPr>
        <w:spacing w:line="240" w:lineRule="auto"/>
        <w:jc w:val="both"/>
        <w:rPr>
          <w:sz w:val="22"/>
        </w:rPr>
      </w:pPr>
      <w:r w:rsidRPr="00F80AEC">
        <w:rPr>
          <w:sz w:val="22"/>
        </w:rPr>
        <w:t xml:space="preserve">Above technical documents have requirements that </w:t>
      </w:r>
      <w:r w:rsidR="00F80AEC">
        <w:rPr>
          <w:sz w:val="22"/>
        </w:rPr>
        <w:t>supplement</w:t>
      </w:r>
      <w:r w:rsidRPr="00F80AEC">
        <w:rPr>
          <w:sz w:val="22"/>
        </w:rPr>
        <w:t xml:space="preserve"> each other. However, there may be repetition of technical criteria across different TfNSW Standards / technical documents, which were developed for specific transport mode or agency. These documents may </w:t>
      </w:r>
      <w:r w:rsidR="00800C13" w:rsidRPr="00F80AEC">
        <w:rPr>
          <w:sz w:val="22"/>
        </w:rPr>
        <w:t>have</w:t>
      </w:r>
      <w:r w:rsidRPr="00F80AEC">
        <w:rPr>
          <w:sz w:val="22"/>
        </w:rPr>
        <w:t xml:space="preserve"> discrepancies or lack of interdependencies. </w:t>
      </w:r>
    </w:p>
    <w:p w14:paraId="6A1E9512" w14:textId="1C79DAD0" w:rsidR="00351D92" w:rsidRPr="00F80AEC" w:rsidRDefault="00351D92" w:rsidP="00351D92">
      <w:pPr>
        <w:spacing w:line="240" w:lineRule="auto"/>
        <w:jc w:val="both"/>
        <w:rPr>
          <w:sz w:val="22"/>
        </w:rPr>
      </w:pPr>
      <w:r w:rsidRPr="00F80AEC">
        <w:rPr>
          <w:sz w:val="22"/>
        </w:rPr>
        <w:t xml:space="preserve">Transport for NSW (TfNSW) </w:t>
      </w:r>
      <w:r w:rsidR="00F04C1A">
        <w:rPr>
          <w:sz w:val="22"/>
        </w:rPr>
        <w:t xml:space="preserve">initiative </w:t>
      </w:r>
      <w:r w:rsidRPr="00F80AEC">
        <w:rPr>
          <w:sz w:val="22"/>
        </w:rPr>
        <w:t xml:space="preserve">to develop a new bridges and structures standard in setting out the requirements across whole of life cycle activities (such as plan, design, construct, maintain and dispose) of bridges and structures which are procured through TfNSW Projects. The bridges and structures include TfNSW assets or those that will be transferred to TfNSW or bridges and structures over or </w:t>
      </w:r>
      <w:r w:rsidR="00A50EBC" w:rsidRPr="00F80AEC">
        <w:rPr>
          <w:sz w:val="22"/>
        </w:rPr>
        <w:t>next to</w:t>
      </w:r>
      <w:r w:rsidRPr="00F80AEC">
        <w:rPr>
          <w:sz w:val="22"/>
        </w:rPr>
        <w:t xml:space="preserve"> TfNSW corridors. </w:t>
      </w:r>
    </w:p>
    <w:p w14:paraId="3D51FBE4" w14:textId="3DCCD64C" w:rsidR="00351D92" w:rsidRDefault="00480811" w:rsidP="00351D92">
      <w:pPr>
        <w:pStyle w:val="Heading2"/>
      </w:pPr>
      <w:r>
        <w:t>Objectives of the new M</w:t>
      </w:r>
      <w:r w:rsidRPr="00480811">
        <w:t>ulti-</w:t>
      </w:r>
      <w:r>
        <w:t>M</w:t>
      </w:r>
      <w:r w:rsidRPr="00480811">
        <w:t>odal Bridges &amp; Structures Design</w:t>
      </w:r>
      <w:r>
        <w:t xml:space="preserve"> Standard</w:t>
      </w:r>
    </w:p>
    <w:p w14:paraId="274C61E1" w14:textId="2493ED2E" w:rsidR="00480811" w:rsidRPr="00F80AEC" w:rsidRDefault="00480811" w:rsidP="00480811">
      <w:pPr>
        <w:spacing w:line="240" w:lineRule="auto"/>
        <w:jc w:val="both"/>
        <w:rPr>
          <w:sz w:val="22"/>
        </w:rPr>
      </w:pPr>
      <w:r w:rsidRPr="00F80AEC">
        <w:rPr>
          <w:sz w:val="22"/>
        </w:rPr>
        <w:t>The goal and purpose of multi-modal bridges and structures standard are to:</w:t>
      </w:r>
    </w:p>
    <w:p w14:paraId="3853BD6B" w14:textId="2CA5870B" w:rsidR="00480811" w:rsidRPr="00674305" w:rsidRDefault="00480811" w:rsidP="00480811">
      <w:pPr>
        <w:pStyle w:val="ListParagraph"/>
        <w:ind w:left="284" w:hanging="284"/>
        <w:rPr>
          <w:sz w:val="22"/>
        </w:rPr>
      </w:pPr>
      <w:r w:rsidRPr="00674305">
        <w:rPr>
          <w:sz w:val="22"/>
        </w:rPr>
        <w:t xml:space="preserve">identify and consolidate existing TfNSW Standards and technical </w:t>
      </w:r>
      <w:r w:rsidR="00035D60" w:rsidRPr="00674305">
        <w:rPr>
          <w:sz w:val="22"/>
        </w:rPr>
        <w:t>criteria.</w:t>
      </w:r>
    </w:p>
    <w:p w14:paraId="7F96930D" w14:textId="1A897A62" w:rsidR="00480811" w:rsidRPr="00674305" w:rsidRDefault="00480811" w:rsidP="00480811">
      <w:pPr>
        <w:pStyle w:val="ListParagraph"/>
        <w:ind w:left="284" w:hanging="284"/>
        <w:rPr>
          <w:sz w:val="22"/>
        </w:rPr>
      </w:pPr>
      <w:r w:rsidRPr="00674305">
        <w:rPr>
          <w:sz w:val="22"/>
        </w:rPr>
        <w:t xml:space="preserve">review existing TfNSW Standards and technical criteria and identify </w:t>
      </w:r>
      <w:r w:rsidR="00035D60" w:rsidRPr="00674305">
        <w:rPr>
          <w:sz w:val="22"/>
        </w:rPr>
        <w:t>gaps.</w:t>
      </w:r>
    </w:p>
    <w:p w14:paraId="4E944A1D" w14:textId="1FCAEC0B" w:rsidR="00480811" w:rsidRPr="00674305" w:rsidRDefault="00480811" w:rsidP="00480811">
      <w:pPr>
        <w:pStyle w:val="ListParagraph"/>
        <w:ind w:left="284" w:hanging="284"/>
        <w:rPr>
          <w:sz w:val="22"/>
        </w:rPr>
      </w:pPr>
      <w:r w:rsidRPr="00674305">
        <w:rPr>
          <w:sz w:val="22"/>
        </w:rPr>
        <w:t xml:space="preserve">supplement Australian Standards such as AS5100 series and relevant matter for </w:t>
      </w:r>
      <w:r w:rsidR="00035D60" w:rsidRPr="00674305">
        <w:rPr>
          <w:sz w:val="22"/>
        </w:rPr>
        <w:t>resolutions.</w:t>
      </w:r>
    </w:p>
    <w:p w14:paraId="29EC260F" w14:textId="1471391E" w:rsidR="00480811" w:rsidRPr="00674305" w:rsidRDefault="00480811" w:rsidP="00480811">
      <w:pPr>
        <w:pStyle w:val="ListParagraph"/>
        <w:ind w:left="284" w:hanging="284"/>
        <w:rPr>
          <w:sz w:val="22"/>
        </w:rPr>
      </w:pPr>
      <w:r w:rsidRPr="00674305">
        <w:rPr>
          <w:sz w:val="22"/>
        </w:rPr>
        <w:t xml:space="preserve">update and improve TfNSW Standards and technical </w:t>
      </w:r>
      <w:r w:rsidR="00035D60" w:rsidRPr="00674305">
        <w:rPr>
          <w:sz w:val="22"/>
        </w:rPr>
        <w:t>criteria.</w:t>
      </w:r>
    </w:p>
    <w:p w14:paraId="637CDA06" w14:textId="2397AC31" w:rsidR="00480811" w:rsidRPr="00674305" w:rsidRDefault="00480811" w:rsidP="00480811">
      <w:pPr>
        <w:pStyle w:val="ListParagraph"/>
        <w:ind w:left="284" w:hanging="284"/>
        <w:rPr>
          <w:sz w:val="22"/>
        </w:rPr>
      </w:pPr>
      <w:r w:rsidRPr="00674305">
        <w:rPr>
          <w:sz w:val="22"/>
        </w:rPr>
        <w:lastRenderedPageBreak/>
        <w:t xml:space="preserve">harmonise technical criteria across transport </w:t>
      </w:r>
      <w:r w:rsidR="00035D60" w:rsidRPr="00674305">
        <w:rPr>
          <w:sz w:val="22"/>
        </w:rPr>
        <w:t>modes.</w:t>
      </w:r>
    </w:p>
    <w:p w14:paraId="47C50A72" w14:textId="655E2B24" w:rsidR="00480811" w:rsidRPr="00674305" w:rsidRDefault="00480811" w:rsidP="00480811">
      <w:pPr>
        <w:pStyle w:val="ListParagraph"/>
        <w:ind w:left="284" w:hanging="284"/>
        <w:rPr>
          <w:sz w:val="22"/>
        </w:rPr>
      </w:pPr>
      <w:r w:rsidRPr="00674305">
        <w:rPr>
          <w:sz w:val="22"/>
        </w:rPr>
        <w:t>develop and incorporate new technical criteria in emerging issues or design / construction approaches not currently covered in TfNSW Standards</w:t>
      </w:r>
    </w:p>
    <w:p w14:paraId="6D2E9153" w14:textId="3013FA43" w:rsidR="00480811" w:rsidRPr="00674305" w:rsidRDefault="00480811" w:rsidP="00480811">
      <w:pPr>
        <w:pStyle w:val="ListParagraph"/>
        <w:ind w:left="284" w:hanging="284"/>
        <w:rPr>
          <w:sz w:val="22"/>
        </w:rPr>
      </w:pPr>
      <w:r w:rsidRPr="00674305">
        <w:rPr>
          <w:sz w:val="22"/>
        </w:rPr>
        <w:t xml:space="preserve">align with other international standards or other state jurisdictions’ </w:t>
      </w:r>
      <w:r w:rsidR="00035D60" w:rsidRPr="00674305">
        <w:rPr>
          <w:sz w:val="22"/>
        </w:rPr>
        <w:t>requirements.</w:t>
      </w:r>
      <w:r w:rsidRPr="00674305">
        <w:rPr>
          <w:sz w:val="22"/>
        </w:rPr>
        <w:t xml:space="preserve"> </w:t>
      </w:r>
    </w:p>
    <w:p w14:paraId="2E8A1C28" w14:textId="2C066A24" w:rsidR="00480811" w:rsidRPr="00674305" w:rsidRDefault="00480811" w:rsidP="00480811">
      <w:pPr>
        <w:pStyle w:val="ListParagraph"/>
        <w:ind w:left="284" w:hanging="284"/>
        <w:rPr>
          <w:sz w:val="22"/>
        </w:rPr>
      </w:pPr>
      <w:r w:rsidRPr="00674305">
        <w:rPr>
          <w:sz w:val="22"/>
        </w:rPr>
        <w:t xml:space="preserve">develop technical position papers to inform research findings and rationale of technical </w:t>
      </w:r>
      <w:r w:rsidR="00035D60" w:rsidRPr="00674305">
        <w:rPr>
          <w:sz w:val="22"/>
        </w:rPr>
        <w:t>criteria.</w:t>
      </w:r>
    </w:p>
    <w:p w14:paraId="0366FFE1" w14:textId="4996491C" w:rsidR="00480811" w:rsidRPr="00674305" w:rsidRDefault="00480811" w:rsidP="00480811">
      <w:pPr>
        <w:pStyle w:val="ListParagraph"/>
        <w:ind w:left="284" w:hanging="284"/>
        <w:rPr>
          <w:sz w:val="22"/>
        </w:rPr>
      </w:pPr>
      <w:r w:rsidRPr="00674305">
        <w:rPr>
          <w:sz w:val="22"/>
        </w:rPr>
        <w:t xml:space="preserve">stipulate consistent and transparent, as well as industry accepted technical </w:t>
      </w:r>
      <w:r w:rsidR="00035D60" w:rsidRPr="00674305">
        <w:rPr>
          <w:sz w:val="22"/>
        </w:rPr>
        <w:t>requirements.</w:t>
      </w:r>
    </w:p>
    <w:p w14:paraId="1FD3F714" w14:textId="5EAFB1DA" w:rsidR="00480811" w:rsidRPr="00674305" w:rsidRDefault="00480811" w:rsidP="00480811">
      <w:pPr>
        <w:pStyle w:val="ListParagraph"/>
        <w:ind w:left="284" w:hanging="284"/>
        <w:rPr>
          <w:sz w:val="22"/>
        </w:rPr>
      </w:pPr>
      <w:r w:rsidRPr="00674305">
        <w:rPr>
          <w:sz w:val="22"/>
        </w:rPr>
        <w:t xml:space="preserve">incorporate risk assessment and technical governance process when dealing with new products / design approach / construction practice which are not covered in TfNSW standards, and first introduced in TfNSW projects/ infrastructure </w:t>
      </w:r>
      <w:r w:rsidR="00035D60" w:rsidRPr="00674305">
        <w:rPr>
          <w:sz w:val="22"/>
        </w:rPr>
        <w:t>assets.</w:t>
      </w:r>
    </w:p>
    <w:p w14:paraId="4254B109" w14:textId="1192FE8E" w:rsidR="00480811" w:rsidRPr="00674305" w:rsidRDefault="00480811" w:rsidP="00480811">
      <w:pPr>
        <w:spacing w:line="240" w:lineRule="auto"/>
        <w:jc w:val="both"/>
        <w:rPr>
          <w:sz w:val="22"/>
        </w:rPr>
      </w:pPr>
      <w:r w:rsidRPr="00674305">
        <w:rPr>
          <w:sz w:val="22"/>
        </w:rPr>
        <w:t xml:space="preserve">The proposed bridges and structures standard is to develop and publish a single source of TfNSW Standard for design of bridges and structures, </w:t>
      </w:r>
      <w:r w:rsidR="00A50EBC" w:rsidRPr="00674305">
        <w:rPr>
          <w:sz w:val="22"/>
        </w:rPr>
        <w:t>following</w:t>
      </w:r>
      <w:r w:rsidRPr="00674305">
        <w:rPr>
          <w:sz w:val="22"/>
        </w:rPr>
        <w:t xml:space="preserve"> TfNSW Standards Management Framework</w:t>
      </w:r>
      <w:r w:rsidR="00652FA6">
        <w:rPr>
          <w:sz w:val="22"/>
        </w:rPr>
        <w:t xml:space="preserve"> (SMF)</w:t>
      </w:r>
      <w:r w:rsidRPr="00674305">
        <w:rPr>
          <w:sz w:val="22"/>
        </w:rPr>
        <w:t>.</w:t>
      </w:r>
    </w:p>
    <w:p w14:paraId="46188B33" w14:textId="6E6AD285" w:rsidR="00480811" w:rsidRPr="00FA55D2" w:rsidRDefault="00480811" w:rsidP="00480811">
      <w:pPr>
        <w:spacing w:line="240" w:lineRule="auto"/>
        <w:jc w:val="both"/>
        <w:rPr>
          <w:sz w:val="22"/>
        </w:rPr>
      </w:pPr>
      <w:r w:rsidRPr="00FA55D2">
        <w:rPr>
          <w:sz w:val="22"/>
        </w:rPr>
        <w:t xml:space="preserve">The </w:t>
      </w:r>
      <w:r w:rsidR="00CB64C9">
        <w:rPr>
          <w:sz w:val="22"/>
        </w:rPr>
        <w:t xml:space="preserve">target outcome of the new </w:t>
      </w:r>
      <w:r w:rsidRPr="00FA55D2">
        <w:rPr>
          <w:sz w:val="22"/>
        </w:rPr>
        <w:t xml:space="preserve">bridges and structures standard </w:t>
      </w:r>
      <w:r w:rsidR="00CB64C9">
        <w:rPr>
          <w:sz w:val="22"/>
        </w:rPr>
        <w:t>shall</w:t>
      </w:r>
      <w:r w:rsidRPr="00FA55D2">
        <w:rPr>
          <w:sz w:val="22"/>
        </w:rPr>
        <w:t>:</w:t>
      </w:r>
    </w:p>
    <w:p w14:paraId="36A0F0B4" w14:textId="6250A426" w:rsidR="00480811" w:rsidRPr="00D92791" w:rsidRDefault="00480811" w:rsidP="00480811">
      <w:pPr>
        <w:pStyle w:val="ListParagraph"/>
        <w:ind w:left="284" w:hanging="284"/>
        <w:rPr>
          <w:sz w:val="22"/>
        </w:rPr>
      </w:pPr>
      <w:r w:rsidRPr="00D92791">
        <w:rPr>
          <w:sz w:val="22"/>
        </w:rPr>
        <w:t>minimise number of TfNSW Standard Artefacts</w:t>
      </w:r>
    </w:p>
    <w:p w14:paraId="573F06AD" w14:textId="4C672307" w:rsidR="00480811" w:rsidRPr="00D92791" w:rsidRDefault="00480811" w:rsidP="00480811">
      <w:pPr>
        <w:pStyle w:val="ListParagraph"/>
        <w:ind w:left="284" w:hanging="284"/>
        <w:rPr>
          <w:sz w:val="22"/>
        </w:rPr>
      </w:pPr>
      <w:r w:rsidRPr="00D92791">
        <w:rPr>
          <w:sz w:val="22"/>
        </w:rPr>
        <w:t xml:space="preserve">improve industry compliance in the delivery of </w:t>
      </w:r>
      <w:r w:rsidR="00035D60" w:rsidRPr="00D92791">
        <w:rPr>
          <w:sz w:val="22"/>
        </w:rPr>
        <w:t>projects.</w:t>
      </w:r>
    </w:p>
    <w:p w14:paraId="27EFFA29" w14:textId="23F4F42A" w:rsidR="00480811" w:rsidRPr="00D92791" w:rsidRDefault="00480811" w:rsidP="00480811">
      <w:pPr>
        <w:pStyle w:val="ListParagraph"/>
        <w:ind w:left="284" w:hanging="284"/>
        <w:rPr>
          <w:sz w:val="22"/>
        </w:rPr>
      </w:pPr>
      <w:r w:rsidRPr="00D92791">
        <w:rPr>
          <w:sz w:val="22"/>
        </w:rPr>
        <w:t xml:space="preserve">reduce non-compliant </w:t>
      </w:r>
      <w:r w:rsidR="00035D60" w:rsidRPr="00D92791">
        <w:rPr>
          <w:sz w:val="22"/>
        </w:rPr>
        <w:t>solutions.</w:t>
      </w:r>
    </w:p>
    <w:p w14:paraId="3C5CAC2B" w14:textId="3AEE322C" w:rsidR="00480811" w:rsidRPr="00D92791" w:rsidRDefault="00480811" w:rsidP="00480811">
      <w:pPr>
        <w:pStyle w:val="ListParagraph"/>
        <w:ind w:left="284" w:hanging="284"/>
        <w:rPr>
          <w:sz w:val="22"/>
        </w:rPr>
      </w:pPr>
      <w:r w:rsidRPr="00D92791">
        <w:rPr>
          <w:sz w:val="22"/>
        </w:rPr>
        <w:t xml:space="preserve">enable sustainable levels of technical capability to develop new </w:t>
      </w:r>
      <w:r w:rsidR="00035D60" w:rsidRPr="00D92791">
        <w:rPr>
          <w:sz w:val="22"/>
        </w:rPr>
        <w:t>criteria.</w:t>
      </w:r>
    </w:p>
    <w:p w14:paraId="4A45CD14" w14:textId="1F6ADB7C" w:rsidR="00480811" w:rsidRPr="00D92791" w:rsidRDefault="00480811" w:rsidP="00480811">
      <w:pPr>
        <w:pStyle w:val="ListParagraph"/>
        <w:ind w:left="284" w:hanging="284"/>
        <w:rPr>
          <w:sz w:val="22"/>
        </w:rPr>
      </w:pPr>
      <w:r w:rsidRPr="00D92791">
        <w:rPr>
          <w:sz w:val="22"/>
        </w:rPr>
        <w:t xml:space="preserve">allow new innovations or technologies through </w:t>
      </w:r>
      <w:r w:rsidR="002F3BE8" w:rsidRPr="00996DD1">
        <w:rPr>
          <w:sz w:val="22"/>
        </w:rPr>
        <w:t xml:space="preserve">so far as is reasonably practicable </w:t>
      </w:r>
      <w:r w:rsidR="00311DED">
        <w:rPr>
          <w:sz w:val="22"/>
        </w:rPr>
        <w:t>(</w:t>
      </w:r>
      <w:r w:rsidRPr="00D92791">
        <w:rPr>
          <w:sz w:val="22"/>
        </w:rPr>
        <w:t>SFAIRP</w:t>
      </w:r>
      <w:r w:rsidR="00311DED">
        <w:rPr>
          <w:sz w:val="22"/>
        </w:rPr>
        <w:t>)</w:t>
      </w:r>
      <w:r w:rsidRPr="00D92791">
        <w:rPr>
          <w:sz w:val="22"/>
        </w:rPr>
        <w:t xml:space="preserve"> and value creation </w:t>
      </w:r>
      <w:r w:rsidR="00035D60" w:rsidRPr="00D92791">
        <w:rPr>
          <w:sz w:val="22"/>
        </w:rPr>
        <w:t>approach.</w:t>
      </w:r>
    </w:p>
    <w:p w14:paraId="72D961D6" w14:textId="1F322BEB" w:rsidR="00480811" w:rsidRPr="00D92791" w:rsidRDefault="00480811" w:rsidP="00480811">
      <w:pPr>
        <w:pStyle w:val="ListParagraph"/>
        <w:ind w:left="284" w:hanging="284"/>
        <w:rPr>
          <w:sz w:val="22"/>
        </w:rPr>
      </w:pPr>
      <w:r w:rsidRPr="00D92791">
        <w:rPr>
          <w:sz w:val="22"/>
        </w:rPr>
        <w:t xml:space="preserve">incorporate improvements based on lesson learnt, queries and </w:t>
      </w:r>
      <w:r w:rsidR="00035D60" w:rsidRPr="00D92791">
        <w:rPr>
          <w:sz w:val="22"/>
        </w:rPr>
        <w:t>concessions.</w:t>
      </w:r>
    </w:p>
    <w:p w14:paraId="188B4C53" w14:textId="5EF6561F" w:rsidR="00480811" w:rsidRPr="00D92791" w:rsidRDefault="00480811" w:rsidP="00480811">
      <w:pPr>
        <w:pStyle w:val="ListParagraph"/>
        <w:ind w:left="284" w:hanging="284"/>
        <w:rPr>
          <w:sz w:val="22"/>
        </w:rPr>
      </w:pPr>
      <w:r w:rsidRPr="00D92791">
        <w:rPr>
          <w:sz w:val="22"/>
        </w:rPr>
        <w:t xml:space="preserve">uplift technical criteria through collaboration with internal </w:t>
      </w:r>
      <w:r w:rsidR="00A16D14">
        <w:rPr>
          <w:sz w:val="22"/>
        </w:rPr>
        <w:t xml:space="preserve">stakeholders </w:t>
      </w:r>
      <w:r w:rsidRPr="00D92791">
        <w:rPr>
          <w:sz w:val="22"/>
        </w:rPr>
        <w:t xml:space="preserve">and </w:t>
      </w:r>
      <w:r w:rsidR="00A16D14">
        <w:rPr>
          <w:sz w:val="22"/>
        </w:rPr>
        <w:t>industry partners</w:t>
      </w:r>
      <w:r w:rsidR="00035D60" w:rsidRPr="00D92791">
        <w:rPr>
          <w:sz w:val="22"/>
        </w:rPr>
        <w:t>.</w:t>
      </w:r>
    </w:p>
    <w:p w14:paraId="2D4B9C9F" w14:textId="0FE65EA8" w:rsidR="00480811" w:rsidRPr="00D92791" w:rsidRDefault="00480811" w:rsidP="00480811">
      <w:pPr>
        <w:spacing w:line="240" w:lineRule="auto"/>
        <w:jc w:val="both"/>
        <w:rPr>
          <w:sz w:val="22"/>
        </w:rPr>
      </w:pPr>
      <w:r w:rsidRPr="00D92791">
        <w:rPr>
          <w:sz w:val="22"/>
        </w:rPr>
        <w:t xml:space="preserve">The development of </w:t>
      </w:r>
      <w:r w:rsidR="00035D60" w:rsidRPr="00D92791">
        <w:rPr>
          <w:sz w:val="22"/>
        </w:rPr>
        <w:t>these new multi-modal bridges and structures standard</w:t>
      </w:r>
      <w:r w:rsidRPr="00D92791">
        <w:rPr>
          <w:sz w:val="22"/>
        </w:rPr>
        <w:t xml:space="preserve"> will consolidate existing technical content and reduce quantity of TfNSW Standard Artefacts. The standard will set out the design requirements across whole of life cycle activities (such as plan, design, construct, maintain and dispose) of bridges and structures which are procured through TfNSW Projects.</w:t>
      </w:r>
    </w:p>
    <w:p w14:paraId="20480B84" w14:textId="7133CCDB" w:rsidR="009B00FA" w:rsidRDefault="00211B97" w:rsidP="003651E2">
      <w:pPr>
        <w:pStyle w:val="Heading1"/>
      </w:pPr>
      <w:r>
        <w:t xml:space="preserve">Outlook of TfNSW </w:t>
      </w:r>
      <w:bookmarkStart w:id="1" w:name="_Hlk187790678"/>
      <w:r>
        <w:t xml:space="preserve">Bridges &amp; Structures </w:t>
      </w:r>
      <w:bookmarkEnd w:id="1"/>
      <w:r>
        <w:t>Standards</w:t>
      </w:r>
    </w:p>
    <w:p w14:paraId="36EA84C5" w14:textId="191B424D" w:rsidR="00211B97" w:rsidRPr="00CB64C9" w:rsidRDefault="00211B97" w:rsidP="00211B97">
      <w:pPr>
        <w:spacing w:line="240" w:lineRule="auto"/>
        <w:jc w:val="both"/>
        <w:rPr>
          <w:sz w:val="22"/>
        </w:rPr>
      </w:pPr>
      <w:r w:rsidRPr="00CB64C9">
        <w:rPr>
          <w:sz w:val="22"/>
        </w:rPr>
        <w:t xml:space="preserve">The new multi-modal bridges and structures standard </w:t>
      </w:r>
      <w:r w:rsidR="007F0A8B" w:rsidRPr="00CB64C9">
        <w:rPr>
          <w:sz w:val="22"/>
        </w:rPr>
        <w:t>aim</w:t>
      </w:r>
      <w:r w:rsidR="00FA0993">
        <w:rPr>
          <w:sz w:val="22"/>
        </w:rPr>
        <w:t>s</w:t>
      </w:r>
      <w:r w:rsidR="007F0A8B" w:rsidRPr="00CB64C9">
        <w:rPr>
          <w:sz w:val="22"/>
        </w:rPr>
        <w:t xml:space="preserve"> to be the</w:t>
      </w:r>
      <w:r w:rsidRPr="00CB64C9">
        <w:rPr>
          <w:sz w:val="22"/>
        </w:rPr>
        <w:t xml:space="preserve"> </w:t>
      </w:r>
      <w:r w:rsidR="00B706C9">
        <w:rPr>
          <w:sz w:val="22"/>
        </w:rPr>
        <w:t>sole</w:t>
      </w:r>
      <w:r w:rsidR="00A50EBC" w:rsidRPr="00CB64C9">
        <w:rPr>
          <w:sz w:val="22"/>
        </w:rPr>
        <w:t xml:space="preserve"> source</w:t>
      </w:r>
      <w:r w:rsidRPr="00CB64C9">
        <w:rPr>
          <w:sz w:val="22"/>
        </w:rPr>
        <w:t xml:space="preserve"> of TfNSW </w:t>
      </w:r>
      <w:r w:rsidR="0043244E">
        <w:rPr>
          <w:sz w:val="22"/>
        </w:rPr>
        <w:t xml:space="preserve">Design </w:t>
      </w:r>
      <w:r w:rsidRPr="00CB64C9">
        <w:rPr>
          <w:sz w:val="22"/>
        </w:rPr>
        <w:t>Standard for Bridge</w:t>
      </w:r>
      <w:r w:rsidR="001B7479">
        <w:rPr>
          <w:sz w:val="22"/>
        </w:rPr>
        <w:t>s</w:t>
      </w:r>
      <w:r w:rsidRPr="00CB64C9">
        <w:rPr>
          <w:sz w:val="22"/>
        </w:rPr>
        <w:t xml:space="preserve"> (excluding underbridges – railway bridges). To achieve </w:t>
      </w:r>
      <w:r w:rsidR="007F0A8B" w:rsidRPr="00CB64C9">
        <w:rPr>
          <w:sz w:val="22"/>
        </w:rPr>
        <w:t xml:space="preserve">this </w:t>
      </w:r>
      <w:r w:rsidR="00A50EBC" w:rsidRPr="00CB64C9">
        <w:rPr>
          <w:sz w:val="22"/>
        </w:rPr>
        <w:t>goal</w:t>
      </w:r>
      <w:r w:rsidRPr="00CB64C9">
        <w:rPr>
          <w:sz w:val="22"/>
        </w:rPr>
        <w:t xml:space="preserve"> the scope of this standard </w:t>
      </w:r>
      <w:r w:rsidR="009E1E31">
        <w:rPr>
          <w:sz w:val="22"/>
        </w:rPr>
        <w:t>will</w:t>
      </w:r>
      <w:r w:rsidRPr="00CB64C9">
        <w:rPr>
          <w:sz w:val="22"/>
        </w:rPr>
        <w:t xml:space="preserve"> </w:t>
      </w:r>
      <w:r w:rsidR="007D4245">
        <w:rPr>
          <w:sz w:val="22"/>
        </w:rPr>
        <w:t>encompass</w:t>
      </w:r>
      <w:r w:rsidRPr="00CB64C9">
        <w:rPr>
          <w:sz w:val="22"/>
        </w:rPr>
        <w:t xml:space="preserve"> the following:</w:t>
      </w:r>
    </w:p>
    <w:p w14:paraId="5DF4586D" w14:textId="05D576DF" w:rsidR="00211B97" w:rsidRPr="00CB64C9" w:rsidRDefault="007F0A8B" w:rsidP="00211B97">
      <w:pPr>
        <w:pStyle w:val="ListParagraph"/>
        <w:ind w:left="284" w:hanging="284"/>
        <w:rPr>
          <w:sz w:val="22"/>
        </w:rPr>
      </w:pPr>
      <w:r w:rsidRPr="00CB64C9">
        <w:rPr>
          <w:sz w:val="22"/>
        </w:rPr>
        <w:t>Appropriate adjustment and s</w:t>
      </w:r>
      <w:r w:rsidR="00211B97" w:rsidRPr="00CB64C9">
        <w:rPr>
          <w:sz w:val="22"/>
        </w:rPr>
        <w:t xml:space="preserve">upplement </w:t>
      </w:r>
      <w:r w:rsidRPr="00CB64C9">
        <w:rPr>
          <w:sz w:val="22"/>
        </w:rPr>
        <w:t xml:space="preserve">to </w:t>
      </w:r>
      <w:r w:rsidR="007D4245">
        <w:rPr>
          <w:sz w:val="22"/>
        </w:rPr>
        <w:t xml:space="preserve">latest </w:t>
      </w:r>
      <w:r w:rsidR="00211B97" w:rsidRPr="00CB64C9">
        <w:rPr>
          <w:sz w:val="22"/>
        </w:rPr>
        <w:t>Australian Standard AS5100</w:t>
      </w:r>
    </w:p>
    <w:p w14:paraId="01F125CB" w14:textId="0BE45430" w:rsidR="00211B97" w:rsidRPr="00CB64C9" w:rsidRDefault="00211B97" w:rsidP="00211B97">
      <w:pPr>
        <w:pStyle w:val="ListParagraph"/>
        <w:ind w:left="284" w:hanging="284"/>
        <w:rPr>
          <w:sz w:val="22"/>
        </w:rPr>
      </w:pPr>
      <w:r w:rsidRPr="00CB64C9">
        <w:rPr>
          <w:sz w:val="22"/>
        </w:rPr>
        <w:t>Multi-modal application (road and rail projects), including light rail and metro (where possible)</w:t>
      </w:r>
    </w:p>
    <w:p w14:paraId="1B438835" w14:textId="77777777" w:rsidR="00211B97" w:rsidRPr="00CB64C9" w:rsidRDefault="00211B97" w:rsidP="00211B97">
      <w:pPr>
        <w:pStyle w:val="ListParagraph"/>
        <w:ind w:left="284" w:hanging="284"/>
        <w:rPr>
          <w:sz w:val="22"/>
        </w:rPr>
      </w:pPr>
      <w:r w:rsidRPr="00CB64C9">
        <w:rPr>
          <w:sz w:val="22"/>
        </w:rPr>
        <w:t>Consolidate / harmonise existing TfNSW Standards, for examples:</w:t>
      </w:r>
    </w:p>
    <w:p w14:paraId="08CD1A39" w14:textId="77777777" w:rsidR="00211B97" w:rsidRPr="00CB64C9" w:rsidRDefault="00211B97" w:rsidP="00211B97">
      <w:pPr>
        <w:pStyle w:val="ListParagraph"/>
        <w:numPr>
          <w:ilvl w:val="0"/>
          <w:numId w:val="15"/>
        </w:numPr>
        <w:rPr>
          <w:sz w:val="22"/>
        </w:rPr>
      </w:pPr>
      <w:r w:rsidRPr="00CB64C9">
        <w:rPr>
          <w:sz w:val="22"/>
        </w:rPr>
        <w:t>T HR CI 12030 ST Overbridges &amp; Footbridges</w:t>
      </w:r>
    </w:p>
    <w:p w14:paraId="3F73B355" w14:textId="77777777" w:rsidR="00211B97" w:rsidRPr="00CB64C9" w:rsidRDefault="00211B97" w:rsidP="00211B97">
      <w:pPr>
        <w:pStyle w:val="ListParagraph"/>
        <w:numPr>
          <w:ilvl w:val="0"/>
          <w:numId w:val="15"/>
        </w:numPr>
        <w:rPr>
          <w:sz w:val="22"/>
        </w:rPr>
      </w:pPr>
      <w:r w:rsidRPr="00CB64C9">
        <w:rPr>
          <w:sz w:val="22"/>
        </w:rPr>
        <w:t>PS261 / PS361</w:t>
      </w:r>
    </w:p>
    <w:p w14:paraId="54B38750" w14:textId="77777777" w:rsidR="00211B97" w:rsidRPr="00CB64C9" w:rsidRDefault="00211B97" w:rsidP="00211B97">
      <w:pPr>
        <w:pStyle w:val="ListParagraph"/>
        <w:numPr>
          <w:ilvl w:val="0"/>
          <w:numId w:val="15"/>
        </w:numPr>
        <w:rPr>
          <w:sz w:val="22"/>
        </w:rPr>
      </w:pPr>
      <w:r w:rsidRPr="00CB64C9">
        <w:rPr>
          <w:sz w:val="22"/>
        </w:rPr>
        <w:t>SWTC (Appendix B4 for Motorway Project or Appendix 13 for Highway Upgrade Project)</w:t>
      </w:r>
    </w:p>
    <w:p w14:paraId="065AF430" w14:textId="77777777" w:rsidR="00211B97" w:rsidRPr="00CB64C9" w:rsidRDefault="00211B97" w:rsidP="00211B97">
      <w:pPr>
        <w:pStyle w:val="ListParagraph"/>
        <w:numPr>
          <w:ilvl w:val="0"/>
          <w:numId w:val="15"/>
        </w:numPr>
        <w:rPr>
          <w:sz w:val="22"/>
        </w:rPr>
      </w:pPr>
      <w:r w:rsidRPr="00CB64C9">
        <w:rPr>
          <w:sz w:val="22"/>
        </w:rPr>
        <w:t>Relevant Bridge Technical Direction Manual (BTDs)</w:t>
      </w:r>
    </w:p>
    <w:p w14:paraId="6A568D08" w14:textId="6A7DADE5" w:rsidR="00211B97" w:rsidRPr="00CB64C9" w:rsidRDefault="00A50EBC" w:rsidP="00211B97">
      <w:pPr>
        <w:pStyle w:val="ListParagraph"/>
        <w:ind w:left="284" w:hanging="284"/>
        <w:rPr>
          <w:sz w:val="22"/>
        </w:rPr>
      </w:pPr>
      <w:r w:rsidRPr="00CB64C9">
        <w:rPr>
          <w:sz w:val="22"/>
        </w:rPr>
        <w:t>Find</w:t>
      </w:r>
      <w:r w:rsidR="00211B97" w:rsidRPr="00CB64C9">
        <w:rPr>
          <w:sz w:val="22"/>
        </w:rPr>
        <w:t xml:space="preserve"> gap in AS5100 or TfNSW Standards</w:t>
      </w:r>
    </w:p>
    <w:p w14:paraId="156D6392" w14:textId="77777777" w:rsidR="00211B97" w:rsidRPr="00CB64C9" w:rsidRDefault="00211B97" w:rsidP="00211B97">
      <w:pPr>
        <w:pStyle w:val="ListParagraph"/>
        <w:ind w:left="284" w:hanging="284"/>
        <w:rPr>
          <w:sz w:val="22"/>
        </w:rPr>
      </w:pPr>
      <w:r w:rsidRPr="00CB64C9">
        <w:rPr>
          <w:sz w:val="22"/>
        </w:rPr>
        <w:t>Improve technical criteria (including TfNSW lesson learnt in past recent projects)</w:t>
      </w:r>
    </w:p>
    <w:p w14:paraId="20918E97" w14:textId="77777777" w:rsidR="00211B97" w:rsidRPr="00CB64C9" w:rsidRDefault="00211B97" w:rsidP="00211B97">
      <w:pPr>
        <w:pStyle w:val="ListParagraph"/>
        <w:ind w:left="284" w:hanging="284"/>
        <w:rPr>
          <w:sz w:val="22"/>
        </w:rPr>
      </w:pPr>
      <w:r w:rsidRPr="00CB64C9">
        <w:rPr>
          <w:sz w:val="22"/>
        </w:rPr>
        <w:t>Update technical criteria or create new technical criteria through research, referencing technical resource and recommendations.</w:t>
      </w:r>
    </w:p>
    <w:p w14:paraId="18562375" w14:textId="0B17F353" w:rsidR="00211B97" w:rsidRPr="00CB64C9" w:rsidRDefault="00211B97" w:rsidP="00211B97">
      <w:pPr>
        <w:pStyle w:val="ListParagraph"/>
        <w:ind w:left="284" w:hanging="284"/>
        <w:rPr>
          <w:sz w:val="22"/>
        </w:rPr>
      </w:pPr>
      <w:r w:rsidRPr="00CB64C9">
        <w:rPr>
          <w:sz w:val="22"/>
        </w:rPr>
        <w:t>Work with TfNSW internal SMEs in resolving technical discrepancies and deliver TfNSW and industry accepted Standard.</w:t>
      </w:r>
    </w:p>
    <w:p w14:paraId="06EE7856" w14:textId="0494C950" w:rsidR="009B00FA" w:rsidRDefault="0096280D" w:rsidP="00493898">
      <w:pPr>
        <w:pStyle w:val="Heading2"/>
      </w:pPr>
      <w:bookmarkStart w:id="2" w:name="_Hlk186755628"/>
      <w:r>
        <w:lastRenderedPageBreak/>
        <w:t>Strategy</w:t>
      </w:r>
      <w:r w:rsidR="00493898">
        <w:t xml:space="preserve"> in developing the </w:t>
      </w:r>
      <w:r w:rsidR="00035D60">
        <w:t>Standard.</w:t>
      </w:r>
    </w:p>
    <w:p w14:paraId="3593C078" w14:textId="4F980CB7" w:rsidR="00493898" w:rsidRPr="0043244E" w:rsidRDefault="00493898" w:rsidP="0043244E">
      <w:pPr>
        <w:spacing w:line="240" w:lineRule="auto"/>
        <w:jc w:val="both"/>
        <w:rPr>
          <w:sz w:val="22"/>
        </w:rPr>
      </w:pPr>
      <w:r w:rsidRPr="0043244E">
        <w:rPr>
          <w:sz w:val="22"/>
        </w:rPr>
        <w:t>The TfNSW Standards Management Framework</w:t>
      </w:r>
      <w:r w:rsidR="00FC194F">
        <w:rPr>
          <w:sz w:val="22"/>
        </w:rPr>
        <w:t xml:space="preserve"> (SMF)</w:t>
      </w:r>
      <w:r w:rsidRPr="0043244E">
        <w:rPr>
          <w:sz w:val="22"/>
        </w:rPr>
        <w:t xml:space="preserve"> outlines the following six principles, which provide a consistent, whole of life cycle approach. The implementation of the framework aims to maximise value for customers, communities and the people of NSW.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956"/>
        <w:gridCol w:w="7070"/>
      </w:tblGrid>
      <w:tr w:rsidR="00614B48" w14:paraId="35169103" w14:textId="77777777" w:rsidTr="004B1F19">
        <w:trPr>
          <w:trHeight w:hRule="exact" w:val="1701"/>
        </w:trPr>
        <w:tc>
          <w:tcPr>
            <w:tcW w:w="1956" w:type="dxa"/>
            <w:shd w:val="clear" w:color="auto" w:fill="D9D9D9" w:themeFill="background1" w:themeFillShade="D9"/>
            <w:vAlign w:val="center"/>
          </w:tcPr>
          <w:p w14:paraId="33D92390" w14:textId="5CB118A3" w:rsidR="00614B48" w:rsidRDefault="00882ABF" w:rsidP="0043244E">
            <w:pPr>
              <w:spacing w:line="240" w:lineRule="auto"/>
              <w:jc w:val="both"/>
              <w:rPr>
                <w:sz w:val="22"/>
              </w:rPr>
            </w:pPr>
            <w:r>
              <w:rPr>
                <w:noProof/>
              </w:rPr>
              <w:drawing>
                <wp:inline distT="0" distB="0" distL="0" distR="0" wp14:anchorId="110B1F5A" wp14:editId="0045626C">
                  <wp:extent cx="1080000" cy="892800"/>
                  <wp:effectExtent l="0" t="0" r="6350" b="3175"/>
                  <wp:docPr id="82955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5495" name=""/>
                          <pic:cNvPicPr/>
                        </pic:nvPicPr>
                        <pic:blipFill>
                          <a:blip r:embed="rId17"/>
                          <a:stretch>
                            <a:fillRect/>
                          </a:stretch>
                        </pic:blipFill>
                        <pic:spPr>
                          <a:xfrm>
                            <a:off x="0" y="0"/>
                            <a:ext cx="1080000" cy="892800"/>
                          </a:xfrm>
                          <a:prstGeom prst="rect">
                            <a:avLst/>
                          </a:prstGeom>
                        </pic:spPr>
                      </pic:pic>
                    </a:graphicData>
                  </a:graphic>
                </wp:inline>
              </w:drawing>
            </w:r>
          </w:p>
        </w:tc>
        <w:tc>
          <w:tcPr>
            <w:tcW w:w="7070" w:type="dxa"/>
            <w:shd w:val="clear" w:color="auto" w:fill="D9D9D9" w:themeFill="background1" w:themeFillShade="D9"/>
            <w:vAlign w:val="center"/>
          </w:tcPr>
          <w:p w14:paraId="5AD02DE4" w14:textId="77777777" w:rsidR="00736729" w:rsidRPr="001C0F8E" w:rsidRDefault="00736729" w:rsidP="00736729">
            <w:pPr>
              <w:pStyle w:val="Default"/>
              <w:jc w:val="both"/>
              <w:rPr>
                <w:rFonts w:ascii="Arial" w:hAnsi="Arial" w:cs="Arial"/>
                <w:sz w:val="22"/>
                <w:szCs w:val="22"/>
              </w:rPr>
            </w:pPr>
            <w:r w:rsidRPr="001C0F8E">
              <w:rPr>
                <w:rFonts w:ascii="Arial" w:hAnsi="Arial" w:cs="Arial"/>
                <w:b/>
                <w:bCs/>
                <w:sz w:val="22"/>
                <w:szCs w:val="22"/>
              </w:rPr>
              <w:t xml:space="preserve">Standards are an asset </w:t>
            </w:r>
          </w:p>
          <w:p w14:paraId="2C362AD9" w14:textId="31FB8A4D" w:rsidR="00614B48" w:rsidRPr="001C0F8E" w:rsidRDefault="00736729" w:rsidP="00736729">
            <w:pPr>
              <w:spacing w:line="240" w:lineRule="auto"/>
              <w:jc w:val="both"/>
              <w:rPr>
                <w:rFonts w:cs="Arial"/>
                <w:sz w:val="22"/>
              </w:rPr>
            </w:pPr>
            <w:r w:rsidRPr="001C0F8E">
              <w:rPr>
                <w:rFonts w:cs="Arial"/>
                <w:sz w:val="22"/>
              </w:rPr>
              <w:t xml:space="preserve">TfNSW standards are an intangible asset with a life cycle </w:t>
            </w:r>
          </w:p>
        </w:tc>
      </w:tr>
      <w:tr w:rsidR="00614B48" w14:paraId="599B4495" w14:textId="77777777" w:rsidTr="004B1F19">
        <w:trPr>
          <w:trHeight w:hRule="exact" w:val="1701"/>
        </w:trPr>
        <w:tc>
          <w:tcPr>
            <w:tcW w:w="1956" w:type="dxa"/>
            <w:shd w:val="clear" w:color="auto" w:fill="D9D9D9" w:themeFill="background1" w:themeFillShade="D9"/>
            <w:vAlign w:val="center"/>
          </w:tcPr>
          <w:p w14:paraId="3DC5F330" w14:textId="04E3E318" w:rsidR="00614B48" w:rsidRDefault="00753ABE" w:rsidP="0043244E">
            <w:pPr>
              <w:spacing w:line="240" w:lineRule="auto"/>
              <w:jc w:val="both"/>
              <w:rPr>
                <w:sz w:val="22"/>
              </w:rPr>
            </w:pPr>
            <w:r>
              <w:rPr>
                <w:noProof/>
              </w:rPr>
              <w:drawing>
                <wp:inline distT="0" distB="0" distL="0" distR="0" wp14:anchorId="358BCB83" wp14:editId="17A778BF">
                  <wp:extent cx="1080000" cy="892800"/>
                  <wp:effectExtent l="0" t="0" r="6350" b="3175"/>
                  <wp:docPr id="9160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91" name=""/>
                          <pic:cNvPicPr/>
                        </pic:nvPicPr>
                        <pic:blipFill>
                          <a:blip r:embed="rId18"/>
                          <a:stretch>
                            <a:fillRect/>
                          </a:stretch>
                        </pic:blipFill>
                        <pic:spPr>
                          <a:xfrm>
                            <a:off x="0" y="0"/>
                            <a:ext cx="1080000" cy="892800"/>
                          </a:xfrm>
                          <a:prstGeom prst="rect">
                            <a:avLst/>
                          </a:prstGeom>
                        </pic:spPr>
                      </pic:pic>
                    </a:graphicData>
                  </a:graphic>
                </wp:inline>
              </w:drawing>
            </w:r>
          </w:p>
        </w:tc>
        <w:tc>
          <w:tcPr>
            <w:tcW w:w="7070" w:type="dxa"/>
            <w:shd w:val="clear" w:color="auto" w:fill="D9D9D9" w:themeFill="background1" w:themeFillShade="D9"/>
            <w:vAlign w:val="center"/>
          </w:tcPr>
          <w:p w14:paraId="6CD94145" w14:textId="77777777" w:rsidR="00004D82" w:rsidRPr="001C0F8E" w:rsidRDefault="00004D82" w:rsidP="00004D82">
            <w:pPr>
              <w:spacing w:line="240" w:lineRule="auto"/>
              <w:jc w:val="both"/>
              <w:rPr>
                <w:rFonts w:cs="Arial"/>
                <w:b/>
                <w:bCs/>
                <w:sz w:val="22"/>
              </w:rPr>
            </w:pPr>
            <w:r w:rsidRPr="001C0F8E">
              <w:rPr>
                <w:rFonts w:cs="Arial"/>
                <w:b/>
                <w:bCs/>
                <w:sz w:val="22"/>
              </w:rPr>
              <w:t>Industry accepted</w:t>
            </w:r>
          </w:p>
          <w:p w14:paraId="6E0F3CC5" w14:textId="65A9DDCA" w:rsidR="00614B48" w:rsidRPr="001C0F8E" w:rsidRDefault="00004D82" w:rsidP="00004D82">
            <w:pPr>
              <w:spacing w:line="240" w:lineRule="auto"/>
              <w:jc w:val="both"/>
              <w:rPr>
                <w:rFonts w:cs="Arial"/>
                <w:sz w:val="22"/>
              </w:rPr>
            </w:pPr>
            <w:r w:rsidRPr="001C0F8E">
              <w:rPr>
                <w:rFonts w:cs="Arial"/>
                <w:sz w:val="22"/>
              </w:rPr>
              <w:t>TfNSW adopts industry accepted standards with no or minimal modification</w:t>
            </w:r>
          </w:p>
        </w:tc>
      </w:tr>
      <w:tr w:rsidR="00614B48" w14:paraId="394602A7" w14:textId="77777777" w:rsidTr="004B1F19">
        <w:trPr>
          <w:trHeight w:hRule="exact" w:val="1701"/>
        </w:trPr>
        <w:tc>
          <w:tcPr>
            <w:tcW w:w="1956" w:type="dxa"/>
            <w:shd w:val="clear" w:color="auto" w:fill="D9D9D9" w:themeFill="background1" w:themeFillShade="D9"/>
            <w:vAlign w:val="center"/>
          </w:tcPr>
          <w:p w14:paraId="34A2DB13" w14:textId="777D36F7" w:rsidR="00614B48" w:rsidRDefault="00D70B12" w:rsidP="0043244E">
            <w:pPr>
              <w:spacing w:line="240" w:lineRule="auto"/>
              <w:jc w:val="both"/>
              <w:rPr>
                <w:sz w:val="22"/>
              </w:rPr>
            </w:pPr>
            <w:r>
              <w:rPr>
                <w:noProof/>
              </w:rPr>
              <w:drawing>
                <wp:inline distT="0" distB="0" distL="0" distR="0" wp14:anchorId="19B2A7DB" wp14:editId="7DD8DEB0">
                  <wp:extent cx="1080000" cy="889200"/>
                  <wp:effectExtent l="0" t="0" r="6350" b="6350"/>
                  <wp:docPr id="46978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80031" name=""/>
                          <pic:cNvPicPr/>
                        </pic:nvPicPr>
                        <pic:blipFill>
                          <a:blip r:embed="rId19"/>
                          <a:stretch>
                            <a:fillRect/>
                          </a:stretch>
                        </pic:blipFill>
                        <pic:spPr>
                          <a:xfrm>
                            <a:off x="0" y="0"/>
                            <a:ext cx="1080000" cy="889200"/>
                          </a:xfrm>
                          <a:prstGeom prst="rect">
                            <a:avLst/>
                          </a:prstGeom>
                        </pic:spPr>
                      </pic:pic>
                    </a:graphicData>
                  </a:graphic>
                </wp:inline>
              </w:drawing>
            </w:r>
          </w:p>
        </w:tc>
        <w:tc>
          <w:tcPr>
            <w:tcW w:w="7070" w:type="dxa"/>
            <w:shd w:val="clear" w:color="auto" w:fill="D9D9D9" w:themeFill="background1" w:themeFillShade="D9"/>
            <w:vAlign w:val="center"/>
          </w:tcPr>
          <w:p w14:paraId="00D4C5F0" w14:textId="77777777" w:rsidR="002D16E5" w:rsidRPr="002E7479" w:rsidRDefault="002D16E5" w:rsidP="002D16E5">
            <w:pPr>
              <w:spacing w:line="240" w:lineRule="auto"/>
              <w:jc w:val="both"/>
              <w:rPr>
                <w:rFonts w:cs="Arial"/>
                <w:b/>
                <w:bCs/>
                <w:sz w:val="22"/>
              </w:rPr>
            </w:pPr>
            <w:r w:rsidRPr="002E7479">
              <w:rPr>
                <w:rFonts w:cs="Arial"/>
                <w:b/>
                <w:bCs/>
                <w:sz w:val="22"/>
              </w:rPr>
              <w:t>Outcomes based</w:t>
            </w:r>
          </w:p>
          <w:p w14:paraId="66BB44A9" w14:textId="7DBA32BE" w:rsidR="00614B48" w:rsidRPr="001C0F8E" w:rsidRDefault="002D16E5" w:rsidP="002D16E5">
            <w:pPr>
              <w:spacing w:line="240" w:lineRule="auto"/>
              <w:jc w:val="both"/>
              <w:rPr>
                <w:rFonts w:cs="Arial"/>
                <w:sz w:val="22"/>
              </w:rPr>
            </w:pPr>
            <w:r w:rsidRPr="001C0F8E">
              <w:rPr>
                <w:rFonts w:cs="Arial"/>
                <w:sz w:val="22"/>
              </w:rPr>
              <w:t>The Framework is outcomes focused producing performance-based standards where appropriate</w:t>
            </w:r>
          </w:p>
        </w:tc>
      </w:tr>
      <w:tr w:rsidR="00614B48" w14:paraId="3FE93C35" w14:textId="77777777" w:rsidTr="004B1F19">
        <w:trPr>
          <w:trHeight w:hRule="exact" w:val="1701"/>
        </w:trPr>
        <w:tc>
          <w:tcPr>
            <w:tcW w:w="1956" w:type="dxa"/>
            <w:shd w:val="clear" w:color="auto" w:fill="D9D9D9" w:themeFill="background1" w:themeFillShade="D9"/>
            <w:vAlign w:val="center"/>
          </w:tcPr>
          <w:p w14:paraId="4DE092CA" w14:textId="345F8954" w:rsidR="00614B48" w:rsidRDefault="00C0506C" w:rsidP="0043244E">
            <w:pPr>
              <w:spacing w:line="240" w:lineRule="auto"/>
              <w:jc w:val="both"/>
              <w:rPr>
                <w:sz w:val="22"/>
              </w:rPr>
            </w:pPr>
            <w:r>
              <w:rPr>
                <w:noProof/>
              </w:rPr>
              <w:drawing>
                <wp:inline distT="0" distB="0" distL="0" distR="0" wp14:anchorId="50242C83" wp14:editId="264C0D9E">
                  <wp:extent cx="1080000" cy="900000"/>
                  <wp:effectExtent l="0" t="0" r="6350" b="0"/>
                  <wp:docPr id="1304051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51327" name=""/>
                          <pic:cNvPicPr/>
                        </pic:nvPicPr>
                        <pic:blipFill>
                          <a:blip r:embed="rId20"/>
                          <a:stretch>
                            <a:fillRect/>
                          </a:stretch>
                        </pic:blipFill>
                        <pic:spPr>
                          <a:xfrm>
                            <a:off x="0" y="0"/>
                            <a:ext cx="1080000" cy="900000"/>
                          </a:xfrm>
                          <a:prstGeom prst="rect">
                            <a:avLst/>
                          </a:prstGeom>
                        </pic:spPr>
                      </pic:pic>
                    </a:graphicData>
                  </a:graphic>
                </wp:inline>
              </w:drawing>
            </w:r>
          </w:p>
        </w:tc>
        <w:tc>
          <w:tcPr>
            <w:tcW w:w="7070" w:type="dxa"/>
            <w:shd w:val="clear" w:color="auto" w:fill="D9D9D9" w:themeFill="background1" w:themeFillShade="D9"/>
            <w:vAlign w:val="center"/>
          </w:tcPr>
          <w:p w14:paraId="40938110" w14:textId="77777777" w:rsidR="00EC7332" w:rsidRPr="002E7479" w:rsidRDefault="00EC7332" w:rsidP="00EC7332">
            <w:pPr>
              <w:spacing w:line="240" w:lineRule="auto"/>
              <w:jc w:val="both"/>
              <w:rPr>
                <w:rFonts w:cs="Arial"/>
                <w:b/>
                <w:bCs/>
                <w:sz w:val="22"/>
              </w:rPr>
            </w:pPr>
            <w:r w:rsidRPr="002E7479">
              <w:rPr>
                <w:rFonts w:cs="Arial"/>
                <w:b/>
                <w:bCs/>
                <w:sz w:val="22"/>
              </w:rPr>
              <w:t>Risk-based management</w:t>
            </w:r>
          </w:p>
          <w:p w14:paraId="3B6C2C38" w14:textId="75CB0AD1" w:rsidR="00614B48" w:rsidRPr="001C0F8E" w:rsidRDefault="00EC7332" w:rsidP="00EC7332">
            <w:pPr>
              <w:spacing w:line="240" w:lineRule="auto"/>
              <w:jc w:val="both"/>
              <w:rPr>
                <w:rFonts w:cs="Arial"/>
                <w:sz w:val="22"/>
              </w:rPr>
            </w:pPr>
            <w:r w:rsidRPr="001C0F8E">
              <w:rPr>
                <w:rFonts w:cs="Arial"/>
                <w:sz w:val="22"/>
              </w:rPr>
              <w:t>TfNSW standards provide for an appropriate balance of cost, risk and performance across the life of the asset</w:t>
            </w:r>
          </w:p>
        </w:tc>
      </w:tr>
      <w:tr w:rsidR="00614B48" w14:paraId="4CF98BFE" w14:textId="77777777" w:rsidTr="004B1F19">
        <w:trPr>
          <w:trHeight w:hRule="exact" w:val="1956"/>
        </w:trPr>
        <w:tc>
          <w:tcPr>
            <w:tcW w:w="1956" w:type="dxa"/>
            <w:shd w:val="clear" w:color="auto" w:fill="D9D9D9" w:themeFill="background1" w:themeFillShade="D9"/>
            <w:vAlign w:val="center"/>
          </w:tcPr>
          <w:p w14:paraId="71B78B40" w14:textId="74B58AF9" w:rsidR="00614B48" w:rsidRDefault="003B0D75" w:rsidP="003B0D75">
            <w:pPr>
              <w:spacing w:line="240" w:lineRule="auto"/>
              <w:jc w:val="center"/>
              <w:rPr>
                <w:sz w:val="22"/>
              </w:rPr>
            </w:pPr>
            <w:r>
              <w:rPr>
                <w:noProof/>
              </w:rPr>
              <w:drawing>
                <wp:inline distT="0" distB="0" distL="0" distR="0" wp14:anchorId="73A16BEA" wp14:editId="15794E13">
                  <wp:extent cx="1066780" cy="997753"/>
                  <wp:effectExtent l="0" t="0" r="635" b="0"/>
                  <wp:docPr id="1875253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53197" name=""/>
                          <pic:cNvPicPr/>
                        </pic:nvPicPr>
                        <pic:blipFill>
                          <a:blip r:embed="rId21"/>
                          <a:stretch>
                            <a:fillRect/>
                          </a:stretch>
                        </pic:blipFill>
                        <pic:spPr>
                          <a:xfrm>
                            <a:off x="0" y="0"/>
                            <a:ext cx="1074565" cy="1005035"/>
                          </a:xfrm>
                          <a:prstGeom prst="rect">
                            <a:avLst/>
                          </a:prstGeom>
                        </pic:spPr>
                      </pic:pic>
                    </a:graphicData>
                  </a:graphic>
                </wp:inline>
              </w:drawing>
            </w:r>
          </w:p>
        </w:tc>
        <w:tc>
          <w:tcPr>
            <w:tcW w:w="7070" w:type="dxa"/>
            <w:shd w:val="clear" w:color="auto" w:fill="D9D9D9" w:themeFill="background1" w:themeFillShade="D9"/>
            <w:vAlign w:val="center"/>
          </w:tcPr>
          <w:p w14:paraId="40F9511D" w14:textId="77777777" w:rsidR="002B39BE" w:rsidRPr="002E7479" w:rsidRDefault="002B39BE" w:rsidP="002B39BE">
            <w:pPr>
              <w:spacing w:line="240" w:lineRule="auto"/>
              <w:jc w:val="both"/>
              <w:rPr>
                <w:rFonts w:cs="Arial"/>
                <w:b/>
                <w:bCs/>
                <w:sz w:val="22"/>
              </w:rPr>
            </w:pPr>
            <w:r w:rsidRPr="002E7479">
              <w:rPr>
                <w:rFonts w:cs="Arial"/>
                <w:b/>
                <w:bCs/>
                <w:sz w:val="22"/>
              </w:rPr>
              <w:t>Collaboration and consistency</w:t>
            </w:r>
          </w:p>
          <w:p w14:paraId="296619D3" w14:textId="37A98A3F" w:rsidR="00614B48" w:rsidRPr="001C0F8E" w:rsidRDefault="002B39BE" w:rsidP="002B39BE">
            <w:pPr>
              <w:spacing w:line="240" w:lineRule="auto"/>
              <w:jc w:val="both"/>
              <w:rPr>
                <w:rFonts w:cs="Arial"/>
                <w:sz w:val="22"/>
              </w:rPr>
            </w:pPr>
            <w:r w:rsidRPr="001C0F8E">
              <w:rPr>
                <w:rFonts w:cs="Arial"/>
                <w:sz w:val="22"/>
              </w:rPr>
              <w:t>TfNSW standards management facilitates Transport-wide collaboration and consistency</w:t>
            </w:r>
          </w:p>
        </w:tc>
      </w:tr>
      <w:tr w:rsidR="00614B48" w14:paraId="127B2B02" w14:textId="77777777" w:rsidTr="004B1F19">
        <w:trPr>
          <w:trHeight w:hRule="exact" w:val="1701"/>
        </w:trPr>
        <w:tc>
          <w:tcPr>
            <w:tcW w:w="1956" w:type="dxa"/>
            <w:shd w:val="clear" w:color="auto" w:fill="D9D9D9" w:themeFill="background1" w:themeFillShade="D9"/>
            <w:vAlign w:val="center"/>
          </w:tcPr>
          <w:p w14:paraId="1C7C6F09" w14:textId="2EBB7E56" w:rsidR="00614B48" w:rsidRDefault="00817F80" w:rsidP="0043244E">
            <w:pPr>
              <w:spacing w:line="240" w:lineRule="auto"/>
              <w:jc w:val="both"/>
              <w:rPr>
                <w:sz w:val="22"/>
              </w:rPr>
            </w:pPr>
            <w:r>
              <w:rPr>
                <w:noProof/>
              </w:rPr>
              <w:drawing>
                <wp:inline distT="0" distB="0" distL="0" distR="0" wp14:anchorId="69EA7CA3" wp14:editId="3390F643">
                  <wp:extent cx="1095375" cy="866775"/>
                  <wp:effectExtent l="0" t="0" r="9525" b="9525"/>
                  <wp:docPr id="40508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83131" name=""/>
                          <pic:cNvPicPr/>
                        </pic:nvPicPr>
                        <pic:blipFill>
                          <a:blip r:embed="rId22"/>
                          <a:stretch>
                            <a:fillRect/>
                          </a:stretch>
                        </pic:blipFill>
                        <pic:spPr>
                          <a:xfrm>
                            <a:off x="0" y="0"/>
                            <a:ext cx="1095883" cy="867177"/>
                          </a:xfrm>
                          <a:prstGeom prst="rect">
                            <a:avLst/>
                          </a:prstGeom>
                        </pic:spPr>
                      </pic:pic>
                    </a:graphicData>
                  </a:graphic>
                </wp:inline>
              </w:drawing>
            </w:r>
          </w:p>
        </w:tc>
        <w:tc>
          <w:tcPr>
            <w:tcW w:w="7070" w:type="dxa"/>
            <w:shd w:val="clear" w:color="auto" w:fill="D9D9D9" w:themeFill="background1" w:themeFillShade="D9"/>
            <w:vAlign w:val="center"/>
          </w:tcPr>
          <w:p w14:paraId="6AB624E8" w14:textId="77777777" w:rsidR="001C0F8E" w:rsidRPr="002E7479" w:rsidRDefault="001C0F8E" w:rsidP="001C0F8E">
            <w:pPr>
              <w:spacing w:line="240" w:lineRule="auto"/>
              <w:jc w:val="both"/>
              <w:rPr>
                <w:rFonts w:cs="Arial"/>
                <w:b/>
                <w:bCs/>
                <w:sz w:val="22"/>
              </w:rPr>
            </w:pPr>
            <w:r w:rsidRPr="002E7479">
              <w:rPr>
                <w:rFonts w:cs="Arial"/>
                <w:b/>
                <w:bCs/>
                <w:sz w:val="22"/>
              </w:rPr>
              <w:t>Innovation and improvement</w:t>
            </w:r>
          </w:p>
          <w:p w14:paraId="6CBC64FD" w14:textId="68B2B903" w:rsidR="00614B48" w:rsidRPr="001C0F8E" w:rsidRDefault="001C0F8E" w:rsidP="001C0F8E">
            <w:pPr>
              <w:spacing w:line="240" w:lineRule="auto"/>
              <w:jc w:val="both"/>
              <w:rPr>
                <w:rFonts w:cs="Arial"/>
                <w:sz w:val="22"/>
              </w:rPr>
            </w:pPr>
            <w:r w:rsidRPr="001C0F8E">
              <w:rPr>
                <w:rFonts w:cs="Arial"/>
                <w:sz w:val="22"/>
              </w:rPr>
              <w:t>TfNSW standards promote and support innovation, continuous quality improvement, risk control and organisational effectiveness</w:t>
            </w:r>
          </w:p>
        </w:tc>
      </w:tr>
      <w:bookmarkEnd w:id="2"/>
    </w:tbl>
    <w:p w14:paraId="63BBB23B" w14:textId="77777777" w:rsidR="000A4D8E" w:rsidRPr="00493898" w:rsidRDefault="000A4D8E" w:rsidP="00493898"/>
    <w:p w14:paraId="0078DBD8" w14:textId="6BA6D2FA" w:rsidR="0096280D" w:rsidRPr="0043244E" w:rsidRDefault="0096280D" w:rsidP="0096280D">
      <w:pPr>
        <w:pStyle w:val="Heading3"/>
        <w:rPr>
          <w:i w:val="0"/>
          <w:iCs w:val="0"/>
          <w:sz w:val="22"/>
          <w:szCs w:val="22"/>
        </w:rPr>
      </w:pPr>
      <w:r w:rsidRPr="0043244E">
        <w:rPr>
          <w:i w:val="0"/>
          <w:iCs w:val="0"/>
          <w:sz w:val="22"/>
          <w:szCs w:val="22"/>
        </w:rPr>
        <w:t xml:space="preserve">Risk-based and Performance-based </w:t>
      </w:r>
      <w:r w:rsidR="00035D60" w:rsidRPr="0043244E">
        <w:rPr>
          <w:i w:val="0"/>
          <w:iCs w:val="0"/>
          <w:sz w:val="22"/>
          <w:szCs w:val="22"/>
        </w:rPr>
        <w:t>Standard.</w:t>
      </w:r>
      <w:r w:rsidRPr="0043244E">
        <w:rPr>
          <w:i w:val="0"/>
          <w:iCs w:val="0"/>
          <w:sz w:val="22"/>
          <w:szCs w:val="22"/>
        </w:rPr>
        <w:t xml:space="preserve"> </w:t>
      </w:r>
    </w:p>
    <w:p w14:paraId="60F623DE" w14:textId="77777777" w:rsidR="0096280D" w:rsidRPr="0043244E" w:rsidRDefault="0096280D" w:rsidP="0096280D">
      <w:pPr>
        <w:spacing w:line="240" w:lineRule="auto"/>
        <w:jc w:val="both"/>
        <w:rPr>
          <w:sz w:val="22"/>
        </w:rPr>
      </w:pPr>
      <w:r w:rsidRPr="0043244E">
        <w:rPr>
          <w:sz w:val="22"/>
        </w:rPr>
        <w:t>Standards provide a benefit to the community and economy by:</w:t>
      </w:r>
    </w:p>
    <w:p w14:paraId="5DCAE0E0" w14:textId="309C23C6" w:rsidR="0096280D" w:rsidRPr="00996DD1" w:rsidRDefault="0096280D" w:rsidP="0096280D">
      <w:pPr>
        <w:pStyle w:val="ListParagraph"/>
        <w:ind w:left="284" w:hanging="284"/>
        <w:rPr>
          <w:sz w:val="22"/>
        </w:rPr>
      </w:pPr>
      <w:r w:rsidRPr="00996DD1">
        <w:rPr>
          <w:sz w:val="22"/>
        </w:rPr>
        <w:t>Guiding TfNSW through safe and effective operation, maintenance and enhancement of the transport network.</w:t>
      </w:r>
    </w:p>
    <w:p w14:paraId="6CC55466" w14:textId="4236DAEA" w:rsidR="0096280D" w:rsidRPr="00996DD1" w:rsidRDefault="0096280D" w:rsidP="0096280D">
      <w:pPr>
        <w:pStyle w:val="ListParagraph"/>
        <w:ind w:left="284" w:hanging="284"/>
        <w:rPr>
          <w:sz w:val="22"/>
        </w:rPr>
      </w:pPr>
      <w:r w:rsidRPr="00996DD1">
        <w:rPr>
          <w:sz w:val="22"/>
        </w:rPr>
        <w:lastRenderedPageBreak/>
        <w:t>Ensuring TfNSW requirements are clear, consistent and transparent thereby enabling efficiency in the development, procurement, delivery, and maintenance of assets and services with industry partners.</w:t>
      </w:r>
    </w:p>
    <w:p w14:paraId="7B991F81" w14:textId="6BBEB976" w:rsidR="0096280D" w:rsidRPr="00996DD1" w:rsidRDefault="0096280D" w:rsidP="0096280D">
      <w:pPr>
        <w:pStyle w:val="ListParagraph"/>
        <w:ind w:left="284" w:hanging="284"/>
        <w:rPr>
          <w:sz w:val="22"/>
        </w:rPr>
      </w:pPr>
      <w:r w:rsidRPr="00996DD1">
        <w:rPr>
          <w:sz w:val="22"/>
        </w:rPr>
        <w:t>Creating valuable intellectual property that supports safe, effective, sustainable and repeatable outcomes by drawing upon the knowledge and experience of a cross section of relevant stakeholders including competent subject matter experts.</w:t>
      </w:r>
    </w:p>
    <w:p w14:paraId="7843F00B" w14:textId="77B2CDA4" w:rsidR="0096280D" w:rsidRPr="00996DD1" w:rsidRDefault="0096280D" w:rsidP="0096280D">
      <w:pPr>
        <w:pStyle w:val="ListParagraph"/>
        <w:ind w:left="284" w:hanging="284"/>
        <w:rPr>
          <w:sz w:val="22"/>
        </w:rPr>
      </w:pPr>
      <w:r w:rsidRPr="00996DD1">
        <w:rPr>
          <w:sz w:val="22"/>
        </w:rPr>
        <w:t xml:space="preserve">Managing the opportunity of emerging technologies or innovations by assessing and communicating their </w:t>
      </w:r>
      <w:r w:rsidR="00A50EBC" w:rsidRPr="00996DD1">
        <w:rPr>
          <w:sz w:val="22"/>
        </w:rPr>
        <w:t>right application</w:t>
      </w:r>
      <w:r w:rsidRPr="00996DD1">
        <w:rPr>
          <w:sz w:val="22"/>
        </w:rPr>
        <w:t xml:space="preserve"> to the TfNSW network.</w:t>
      </w:r>
    </w:p>
    <w:p w14:paraId="615CD12D" w14:textId="610A57BF" w:rsidR="0096280D" w:rsidRPr="00996DD1" w:rsidRDefault="0096280D" w:rsidP="0096280D">
      <w:pPr>
        <w:pStyle w:val="ListParagraph"/>
        <w:ind w:left="284" w:hanging="284"/>
        <w:rPr>
          <w:sz w:val="22"/>
        </w:rPr>
      </w:pPr>
      <w:r w:rsidRPr="00996DD1">
        <w:rPr>
          <w:sz w:val="22"/>
        </w:rPr>
        <w:t>Providing an overarching framework for risk management and compliance.</w:t>
      </w:r>
    </w:p>
    <w:p w14:paraId="40D19CDD" w14:textId="16D5BB61" w:rsidR="0096280D" w:rsidRPr="00996DD1" w:rsidRDefault="0096280D" w:rsidP="0096280D">
      <w:pPr>
        <w:pStyle w:val="ListParagraph"/>
        <w:ind w:left="284" w:hanging="284"/>
        <w:rPr>
          <w:sz w:val="22"/>
        </w:rPr>
      </w:pPr>
      <w:r w:rsidRPr="00996DD1">
        <w:rPr>
          <w:sz w:val="22"/>
        </w:rPr>
        <w:t>Establishing a basis for asset management and considerations for the whole of life management.</w:t>
      </w:r>
    </w:p>
    <w:p w14:paraId="57654503" w14:textId="664387B9" w:rsidR="0096280D" w:rsidRPr="00996DD1" w:rsidRDefault="0096280D" w:rsidP="0096280D">
      <w:pPr>
        <w:pStyle w:val="ListParagraph"/>
        <w:ind w:left="284" w:hanging="284"/>
        <w:rPr>
          <w:sz w:val="22"/>
        </w:rPr>
      </w:pPr>
      <w:r w:rsidRPr="00996DD1">
        <w:rPr>
          <w:sz w:val="22"/>
        </w:rPr>
        <w:t>Ensuring so far as is reasonably practicable (SFAIRP) approach, integration (especially multi-modal) and interoperability from a technical and engineering perspective and customer experience viewpoint.</w:t>
      </w:r>
    </w:p>
    <w:p w14:paraId="51FE18E0" w14:textId="52EAF922" w:rsidR="0096280D" w:rsidRPr="00D37FD5" w:rsidRDefault="0096280D" w:rsidP="0096280D">
      <w:pPr>
        <w:spacing w:line="240" w:lineRule="auto"/>
        <w:jc w:val="both"/>
        <w:rPr>
          <w:sz w:val="22"/>
        </w:rPr>
      </w:pPr>
      <w:r w:rsidRPr="00D37FD5">
        <w:rPr>
          <w:sz w:val="22"/>
        </w:rPr>
        <w:t>TfNSW Standards are developed through a scaled approach, such as tiering, based on risk and change impact assessment to ensure governance and assurance. When a trigger event requires development of a new standard or modification to an existing standard, the following standard development process is followed:</w:t>
      </w:r>
    </w:p>
    <w:p w14:paraId="1C0D3ABE" w14:textId="10738F24" w:rsidR="0096280D" w:rsidRPr="00D37FD5" w:rsidRDefault="0096280D" w:rsidP="0096280D">
      <w:pPr>
        <w:pStyle w:val="ListParagraph"/>
        <w:ind w:left="284" w:hanging="284"/>
        <w:rPr>
          <w:sz w:val="22"/>
        </w:rPr>
      </w:pPr>
      <w:r w:rsidRPr="00D37FD5">
        <w:rPr>
          <w:sz w:val="22"/>
        </w:rPr>
        <w:t>Stage 1: Proposal and planning – complete Standards Project Proposal Form and Standards Tier Tool</w:t>
      </w:r>
    </w:p>
    <w:p w14:paraId="42935E0B" w14:textId="085EC529" w:rsidR="0096280D" w:rsidRPr="00D37FD5" w:rsidRDefault="0096280D" w:rsidP="0096280D">
      <w:pPr>
        <w:pStyle w:val="ListParagraph"/>
        <w:ind w:left="284" w:hanging="284"/>
        <w:rPr>
          <w:sz w:val="22"/>
        </w:rPr>
      </w:pPr>
      <w:r w:rsidRPr="00D37FD5">
        <w:rPr>
          <w:sz w:val="22"/>
        </w:rPr>
        <w:t xml:space="preserve">Stage 2: Draft and develop – document risk register, draft standard and prepare an assurance </w:t>
      </w:r>
      <w:r w:rsidR="00951BA9" w:rsidRPr="00D37FD5">
        <w:rPr>
          <w:sz w:val="22"/>
        </w:rPr>
        <w:t>argument.</w:t>
      </w:r>
    </w:p>
    <w:p w14:paraId="2A8BAFBA" w14:textId="134D4AE7" w:rsidR="0096280D" w:rsidRPr="00D37FD5" w:rsidRDefault="0096280D" w:rsidP="0096280D">
      <w:pPr>
        <w:pStyle w:val="ListParagraph"/>
        <w:ind w:left="284" w:hanging="284"/>
        <w:rPr>
          <w:sz w:val="22"/>
        </w:rPr>
      </w:pPr>
      <w:r w:rsidRPr="00D37FD5">
        <w:rPr>
          <w:sz w:val="22"/>
        </w:rPr>
        <w:t xml:space="preserve">Stage 3: Collaboration – consult key </w:t>
      </w:r>
      <w:r w:rsidR="00951BA9" w:rsidRPr="00D37FD5">
        <w:rPr>
          <w:sz w:val="22"/>
        </w:rPr>
        <w:t>stakeholders.</w:t>
      </w:r>
    </w:p>
    <w:p w14:paraId="4BE14358" w14:textId="636D8050" w:rsidR="0096280D" w:rsidRPr="00D37FD5" w:rsidRDefault="0096280D" w:rsidP="0096280D">
      <w:pPr>
        <w:pStyle w:val="ListParagraph"/>
        <w:ind w:left="284" w:hanging="284"/>
        <w:rPr>
          <w:sz w:val="22"/>
        </w:rPr>
      </w:pPr>
      <w:r w:rsidRPr="00D37FD5">
        <w:rPr>
          <w:sz w:val="22"/>
        </w:rPr>
        <w:t xml:space="preserve">Stage 4: Governance and approval – validate risk register and assurance </w:t>
      </w:r>
      <w:r w:rsidR="00951BA9" w:rsidRPr="00D37FD5">
        <w:rPr>
          <w:sz w:val="22"/>
        </w:rPr>
        <w:t>argument.</w:t>
      </w:r>
    </w:p>
    <w:p w14:paraId="1BE15978" w14:textId="0B99FADA" w:rsidR="0096280D" w:rsidRPr="00D37FD5" w:rsidRDefault="0096280D" w:rsidP="0096280D">
      <w:pPr>
        <w:pStyle w:val="ListParagraph"/>
        <w:ind w:left="284" w:hanging="284"/>
        <w:rPr>
          <w:sz w:val="22"/>
        </w:rPr>
      </w:pPr>
      <w:r w:rsidRPr="00D37FD5">
        <w:rPr>
          <w:sz w:val="22"/>
        </w:rPr>
        <w:t xml:space="preserve">Stage 5: Publication – publish standard and notify relevant stakeholders of </w:t>
      </w:r>
      <w:r w:rsidR="00951BA9" w:rsidRPr="00D37FD5">
        <w:rPr>
          <w:sz w:val="22"/>
        </w:rPr>
        <w:t>publication.</w:t>
      </w:r>
    </w:p>
    <w:p w14:paraId="2AF25E99" w14:textId="2ED4B7BA" w:rsidR="0096280D" w:rsidRPr="00D37FD5" w:rsidRDefault="0096280D" w:rsidP="0096280D">
      <w:pPr>
        <w:pStyle w:val="ListParagraph"/>
        <w:ind w:left="284" w:hanging="284"/>
        <w:rPr>
          <w:sz w:val="22"/>
        </w:rPr>
      </w:pPr>
      <w:r w:rsidRPr="00D37FD5">
        <w:rPr>
          <w:sz w:val="22"/>
        </w:rPr>
        <w:t xml:space="preserve">Stage 6: Operate and maintain – maintain currency of content through technical directions or standard </w:t>
      </w:r>
      <w:r w:rsidR="00951BA9" w:rsidRPr="00D37FD5">
        <w:rPr>
          <w:sz w:val="22"/>
        </w:rPr>
        <w:t>update.</w:t>
      </w:r>
    </w:p>
    <w:p w14:paraId="2E2BF06D" w14:textId="7C415572" w:rsidR="0096280D" w:rsidRPr="002359A1" w:rsidRDefault="0096280D" w:rsidP="0096280D">
      <w:pPr>
        <w:pStyle w:val="Heading3"/>
        <w:rPr>
          <w:i w:val="0"/>
          <w:iCs w:val="0"/>
          <w:sz w:val="22"/>
          <w:szCs w:val="22"/>
        </w:rPr>
      </w:pPr>
      <w:r w:rsidRPr="002359A1">
        <w:rPr>
          <w:i w:val="0"/>
          <w:iCs w:val="0"/>
          <w:sz w:val="22"/>
          <w:szCs w:val="22"/>
        </w:rPr>
        <w:t>Intelligent Compliance and Value Creation</w:t>
      </w:r>
    </w:p>
    <w:p w14:paraId="7C6C4B6E" w14:textId="79D7290F" w:rsidR="00CA14C1" w:rsidRPr="002359A1" w:rsidRDefault="00CA14C1" w:rsidP="00CA14C1">
      <w:pPr>
        <w:spacing w:line="240" w:lineRule="auto"/>
        <w:jc w:val="both"/>
        <w:rPr>
          <w:sz w:val="22"/>
        </w:rPr>
      </w:pPr>
      <w:r w:rsidRPr="002359A1">
        <w:rPr>
          <w:sz w:val="22"/>
        </w:rPr>
        <w:t>Transport Standards will continue to evolve with advancements in technology and improvement of industry practice. Hybrid standard requirements covering prescriptive acceptance criteria, as well as incorporating risk</w:t>
      </w:r>
      <w:r w:rsidR="004E4EA2">
        <w:rPr>
          <w:sz w:val="22"/>
        </w:rPr>
        <w:t xml:space="preserve"> </w:t>
      </w:r>
      <w:r w:rsidRPr="002359A1">
        <w:rPr>
          <w:sz w:val="22"/>
        </w:rPr>
        <w:t>based and performance-based governance and assurance process</w:t>
      </w:r>
      <w:r w:rsidR="003048A9">
        <w:rPr>
          <w:sz w:val="22"/>
        </w:rPr>
        <w:t>es</w:t>
      </w:r>
      <w:r w:rsidRPr="002359A1">
        <w:rPr>
          <w:sz w:val="22"/>
        </w:rPr>
        <w:t xml:space="preserve"> will be a key focus area to improve industry collaboration, promote innovation and achieve more sustainable project</w:t>
      </w:r>
      <w:r w:rsidR="009B29A1">
        <w:rPr>
          <w:sz w:val="22"/>
        </w:rPr>
        <w:t xml:space="preserve"> outcomes</w:t>
      </w:r>
      <w:r w:rsidRPr="002359A1">
        <w:rPr>
          <w:sz w:val="22"/>
        </w:rPr>
        <w:t>.</w:t>
      </w:r>
    </w:p>
    <w:p w14:paraId="3410CF97" w14:textId="7794C3EF" w:rsidR="00CA14C1" w:rsidRPr="002359A1" w:rsidRDefault="00CA14C1" w:rsidP="00CA14C1">
      <w:pPr>
        <w:spacing w:line="240" w:lineRule="auto"/>
        <w:jc w:val="both"/>
        <w:rPr>
          <w:sz w:val="22"/>
        </w:rPr>
      </w:pPr>
      <w:r w:rsidRPr="002359A1">
        <w:rPr>
          <w:sz w:val="22"/>
        </w:rPr>
        <w:t xml:space="preserve">The Concessions to Transport Standards process enables technical experts and industry partners to seek opportunities to challenge the status-quo and develop engineering solutions that </w:t>
      </w:r>
      <w:r w:rsidR="00655739">
        <w:rPr>
          <w:sz w:val="22"/>
        </w:rPr>
        <w:t>provide</w:t>
      </w:r>
      <w:r w:rsidR="00C67DC0">
        <w:rPr>
          <w:sz w:val="22"/>
        </w:rPr>
        <w:t xml:space="preserve"> </w:t>
      </w:r>
      <w:r w:rsidRPr="002359A1">
        <w:rPr>
          <w:sz w:val="22"/>
        </w:rPr>
        <w:t xml:space="preserve">alternative and </w:t>
      </w:r>
      <w:r w:rsidR="004E4EA2" w:rsidRPr="002359A1">
        <w:rPr>
          <w:sz w:val="22"/>
        </w:rPr>
        <w:t>fit</w:t>
      </w:r>
      <w:r w:rsidR="008E5ECB">
        <w:rPr>
          <w:sz w:val="22"/>
        </w:rPr>
        <w:t>-</w:t>
      </w:r>
      <w:r w:rsidR="004E4EA2" w:rsidRPr="002359A1">
        <w:rPr>
          <w:sz w:val="22"/>
        </w:rPr>
        <w:t>for</w:t>
      </w:r>
      <w:r w:rsidRPr="002359A1">
        <w:rPr>
          <w:sz w:val="22"/>
        </w:rPr>
        <w:t xml:space="preserve">-purpose outcomes. Risk-based and performance-based TfNSW Standards will empower </w:t>
      </w:r>
      <w:r w:rsidR="008E5ECB">
        <w:rPr>
          <w:sz w:val="22"/>
        </w:rPr>
        <w:t xml:space="preserve">the </w:t>
      </w:r>
      <w:r w:rsidRPr="002359A1">
        <w:rPr>
          <w:sz w:val="22"/>
        </w:rPr>
        <w:t xml:space="preserve">industry to be more creative through intelligent compliance. The Concessions process </w:t>
      </w:r>
      <w:r w:rsidR="00A50EBC" w:rsidRPr="002359A1">
        <w:rPr>
          <w:sz w:val="22"/>
        </w:rPr>
        <w:t>offers</w:t>
      </w:r>
      <w:r w:rsidRPr="002359A1">
        <w:rPr>
          <w:sz w:val="22"/>
        </w:rPr>
        <w:t xml:space="preserve"> a mechanism to facilitate innovation outside of standard requirements. The governance process enables deviations from the Standards through adequate technical justification, whole-of-life cost benefit</w:t>
      </w:r>
      <w:r w:rsidR="003805C9">
        <w:rPr>
          <w:sz w:val="22"/>
        </w:rPr>
        <w:t xml:space="preserve"> analysis</w:t>
      </w:r>
      <w:r w:rsidRPr="002359A1">
        <w:rPr>
          <w:sz w:val="22"/>
        </w:rPr>
        <w:t>, risk management</w:t>
      </w:r>
      <w:r w:rsidR="003805C9">
        <w:rPr>
          <w:sz w:val="22"/>
        </w:rPr>
        <w:t>,</w:t>
      </w:r>
      <w:r w:rsidRPr="002359A1">
        <w:rPr>
          <w:sz w:val="22"/>
        </w:rPr>
        <w:t xml:space="preserve"> and safety</w:t>
      </w:r>
      <w:r w:rsidR="004E4EA2">
        <w:rPr>
          <w:sz w:val="22"/>
        </w:rPr>
        <w:t xml:space="preserve"> control and</w:t>
      </w:r>
      <w:r w:rsidRPr="002359A1">
        <w:rPr>
          <w:sz w:val="22"/>
        </w:rPr>
        <w:t xml:space="preserve"> assurance.</w:t>
      </w:r>
    </w:p>
    <w:p w14:paraId="5210A9CD" w14:textId="7207CE24" w:rsidR="00CA14C1" w:rsidRPr="002359A1" w:rsidRDefault="00CA14C1" w:rsidP="00CA14C1">
      <w:pPr>
        <w:spacing w:line="240" w:lineRule="auto"/>
        <w:jc w:val="both"/>
        <w:rPr>
          <w:sz w:val="22"/>
        </w:rPr>
      </w:pPr>
      <w:r w:rsidRPr="002359A1">
        <w:rPr>
          <w:sz w:val="22"/>
        </w:rPr>
        <w:t xml:space="preserve">A Value Creation Toolkit (VCT) has been developed by TfNSW </w:t>
      </w:r>
      <w:r w:rsidR="00EF0DB5">
        <w:rPr>
          <w:sz w:val="22"/>
        </w:rPr>
        <w:t xml:space="preserve">to identify, monitor and report </w:t>
      </w:r>
      <w:r w:rsidRPr="002359A1">
        <w:rPr>
          <w:sz w:val="22"/>
        </w:rPr>
        <w:t xml:space="preserve">the value created by the development and application of Transport </w:t>
      </w:r>
      <w:r w:rsidR="00951BA9" w:rsidRPr="002359A1">
        <w:rPr>
          <w:sz w:val="22"/>
        </w:rPr>
        <w:t>Standards or</w:t>
      </w:r>
      <w:r w:rsidRPr="002359A1">
        <w:rPr>
          <w:sz w:val="22"/>
        </w:rPr>
        <w:t xml:space="preserve"> </w:t>
      </w:r>
      <w:r w:rsidR="00B00E63">
        <w:rPr>
          <w:sz w:val="22"/>
        </w:rPr>
        <w:t xml:space="preserve">the </w:t>
      </w:r>
      <w:r w:rsidRPr="002359A1">
        <w:rPr>
          <w:sz w:val="22"/>
        </w:rPr>
        <w:t>granting of concessions. It captures financial and/or non-financial benefit</w:t>
      </w:r>
      <w:r w:rsidR="005445E9">
        <w:rPr>
          <w:sz w:val="22"/>
        </w:rPr>
        <w:t>s</w:t>
      </w:r>
      <w:r w:rsidRPr="002359A1">
        <w:rPr>
          <w:sz w:val="22"/>
        </w:rPr>
        <w:t xml:space="preserve">, or a combination of both, associated with an activity in the context of the Transport cluster and its customers. </w:t>
      </w:r>
      <w:r w:rsidR="00800C13" w:rsidRPr="002359A1">
        <w:rPr>
          <w:sz w:val="22"/>
        </w:rPr>
        <w:t>To</w:t>
      </w:r>
      <w:r w:rsidRPr="002359A1">
        <w:rPr>
          <w:sz w:val="22"/>
        </w:rPr>
        <w:t xml:space="preserve"> deliver the best outcomes for our customers and communities across the whole of life cycle, the VCT focuses on driving and capturing intelligent approaches to Standards development and management to achieve better quality, safety, performance, and financial outcomes. It is important to note that the financial and non-financial </w:t>
      </w:r>
      <w:r w:rsidR="00A50EBC" w:rsidRPr="002359A1">
        <w:rPr>
          <w:sz w:val="22"/>
        </w:rPr>
        <w:t>aims</w:t>
      </w:r>
      <w:r w:rsidRPr="002359A1">
        <w:rPr>
          <w:sz w:val="22"/>
        </w:rPr>
        <w:t xml:space="preserve"> </w:t>
      </w:r>
      <w:r w:rsidR="00023097">
        <w:rPr>
          <w:sz w:val="22"/>
        </w:rPr>
        <w:t>must</w:t>
      </w:r>
      <w:r w:rsidRPr="002359A1">
        <w:rPr>
          <w:sz w:val="22"/>
        </w:rPr>
        <w:t xml:space="preserve"> not be compromised </w:t>
      </w:r>
      <w:r w:rsidR="00145B01">
        <w:rPr>
          <w:sz w:val="22"/>
        </w:rPr>
        <w:t xml:space="preserve">solely </w:t>
      </w:r>
      <w:r w:rsidR="0073379E">
        <w:rPr>
          <w:sz w:val="22"/>
        </w:rPr>
        <w:t>for</w:t>
      </w:r>
      <w:r w:rsidRPr="002359A1">
        <w:rPr>
          <w:sz w:val="22"/>
        </w:rPr>
        <w:t xml:space="preserve"> the purpose of cost savings or cost avoidance in </w:t>
      </w:r>
      <w:r w:rsidR="00231D88">
        <w:rPr>
          <w:sz w:val="22"/>
        </w:rPr>
        <w:t xml:space="preserve">the </w:t>
      </w:r>
      <w:r w:rsidRPr="002359A1">
        <w:rPr>
          <w:sz w:val="22"/>
        </w:rPr>
        <w:t>develop</w:t>
      </w:r>
      <w:r w:rsidR="00275473">
        <w:rPr>
          <w:sz w:val="22"/>
        </w:rPr>
        <w:t>ment or</w:t>
      </w:r>
      <w:r w:rsidRPr="002359A1">
        <w:rPr>
          <w:sz w:val="22"/>
        </w:rPr>
        <w:t xml:space="preserve"> deliver</w:t>
      </w:r>
      <w:r w:rsidR="00275473">
        <w:rPr>
          <w:sz w:val="22"/>
        </w:rPr>
        <w:t>y of</w:t>
      </w:r>
      <w:r w:rsidRPr="002359A1">
        <w:rPr>
          <w:sz w:val="22"/>
        </w:rPr>
        <w:t xml:space="preserve"> TfNSW assets.</w:t>
      </w:r>
    </w:p>
    <w:p w14:paraId="56BA056D" w14:textId="1608BFA7" w:rsidR="00B66312" w:rsidRDefault="009304E9" w:rsidP="00CA14C1">
      <w:pPr>
        <w:pStyle w:val="Heading1"/>
      </w:pPr>
      <w:r w:rsidRPr="009304E9">
        <w:lastRenderedPageBreak/>
        <w:t xml:space="preserve">Bridges &amp; Structures </w:t>
      </w:r>
      <w:r>
        <w:t>Standard Development</w:t>
      </w:r>
    </w:p>
    <w:p w14:paraId="77083F04" w14:textId="52E1ED1A" w:rsidR="009304E9" w:rsidRPr="0078001C" w:rsidRDefault="009304E9" w:rsidP="009304E9">
      <w:pPr>
        <w:spacing w:line="240" w:lineRule="auto"/>
        <w:jc w:val="both"/>
        <w:rPr>
          <w:sz w:val="22"/>
        </w:rPr>
      </w:pPr>
      <w:r w:rsidRPr="0078001C">
        <w:rPr>
          <w:sz w:val="22"/>
        </w:rPr>
        <w:t xml:space="preserve">Review of TfNSW Standards / technical documents and </w:t>
      </w:r>
      <w:r w:rsidR="00D14C82" w:rsidRPr="0078001C">
        <w:rPr>
          <w:sz w:val="22"/>
        </w:rPr>
        <w:t xml:space="preserve">preparation of </w:t>
      </w:r>
      <w:r w:rsidRPr="0078001C">
        <w:rPr>
          <w:sz w:val="22"/>
        </w:rPr>
        <w:t xml:space="preserve">gap analysis. The gap analysis </w:t>
      </w:r>
      <w:r w:rsidR="009E1E31">
        <w:rPr>
          <w:sz w:val="22"/>
        </w:rPr>
        <w:t>will</w:t>
      </w:r>
      <w:r w:rsidRPr="0078001C">
        <w:rPr>
          <w:sz w:val="22"/>
        </w:rPr>
        <w:t xml:space="preserve"> outline the following: </w:t>
      </w:r>
    </w:p>
    <w:p w14:paraId="3A6051AE" w14:textId="1EAC58B4" w:rsidR="009304E9" w:rsidRPr="0078001C" w:rsidRDefault="009304E9" w:rsidP="009304E9">
      <w:pPr>
        <w:pStyle w:val="ListParagraph"/>
        <w:ind w:left="284" w:hanging="284"/>
        <w:rPr>
          <w:sz w:val="22"/>
        </w:rPr>
      </w:pPr>
      <w:r w:rsidRPr="0078001C">
        <w:rPr>
          <w:sz w:val="22"/>
        </w:rPr>
        <w:t>comprehensive review of the existing T HR CI 12030 ST, SWTC, PS261/PS361 and BTDs</w:t>
      </w:r>
    </w:p>
    <w:p w14:paraId="1C2A5E79" w14:textId="6C9B8CD6" w:rsidR="009304E9" w:rsidRPr="0078001C" w:rsidRDefault="009304E9" w:rsidP="009304E9">
      <w:pPr>
        <w:pStyle w:val="ListParagraph"/>
        <w:ind w:left="284" w:hanging="284"/>
        <w:rPr>
          <w:sz w:val="22"/>
        </w:rPr>
      </w:pPr>
      <w:r w:rsidRPr="0078001C">
        <w:rPr>
          <w:sz w:val="22"/>
        </w:rPr>
        <w:t>inconsistencies / discrepancies of existing technical requirements / topics</w:t>
      </w:r>
    </w:p>
    <w:p w14:paraId="20770EC4" w14:textId="1D145EE8" w:rsidR="009304E9" w:rsidRPr="0078001C" w:rsidRDefault="009304E9" w:rsidP="009304E9">
      <w:pPr>
        <w:pStyle w:val="ListParagraph"/>
        <w:ind w:left="284" w:hanging="284"/>
        <w:rPr>
          <w:sz w:val="22"/>
        </w:rPr>
      </w:pPr>
      <w:r w:rsidRPr="0078001C">
        <w:rPr>
          <w:sz w:val="22"/>
        </w:rPr>
        <w:t xml:space="preserve">AS5100 (including matter for resolutions and draft amendments), other international standards or other state jurisdictions’ requirements for </w:t>
      </w:r>
      <w:r w:rsidR="00951BA9" w:rsidRPr="0078001C">
        <w:rPr>
          <w:sz w:val="22"/>
        </w:rPr>
        <w:t>harmonisation.</w:t>
      </w:r>
    </w:p>
    <w:p w14:paraId="127E41A2" w14:textId="16F94865" w:rsidR="009304E9" w:rsidRPr="0078001C" w:rsidRDefault="009304E9" w:rsidP="009304E9">
      <w:pPr>
        <w:pStyle w:val="ListParagraph"/>
        <w:ind w:left="284" w:hanging="284"/>
        <w:rPr>
          <w:sz w:val="22"/>
        </w:rPr>
      </w:pPr>
      <w:r w:rsidRPr="0078001C">
        <w:rPr>
          <w:sz w:val="22"/>
        </w:rPr>
        <w:t xml:space="preserve">The technical criteria to be considered or included in TfNSW standard, </w:t>
      </w:r>
      <w:r w:rsidR="00A60AE2">
        <w:rPr>
          <w:sz w:val="22"/>
        </w:rPr>
        <w:t>are</w:t>
      </w:r>
      <w:r w:rsidRPr="0078001C">
        <w:rPr>
          <w:sz w:val="22"/>
        </w:rPr>
        <w:t xml:space="preserve"> categorised as:</w:t>
      </w:r>
    </w:p>
    <w:p w14:paraId="0EB714C2" w14:textId="23DC55C8" w:rsidR="009304E9" w:rsidRPr="0078001C" w:rsidRDefault="009304E9" w:rsidP="009304E9">
      <w:pPr>
        <w:pStyle w:val="ListParagraph"/>
        <w:numPr>
          <w:ilvl w:val="0"/>
          <w:numId w:val="15"/>
        </w:numPr>
        <w:rPr>
          <w:sz w:val="22"/>
        </w:rPr>
      </w:pPr>
      <w:r w:rsidRPr="0078001C">
        <w:rPr>
          <w:sz w:val="22"/>
        </w:rPr>
        <w:t xml:space="preserve">Withdraw obsolete or superseded design </w:t>
      </w:r>
      <w:r w:rsidR="00951BA9" w:rsidRPr="0078001C">
        <w:rPr>
          <w:sz w:val="22"/>
        </w:rPr>
        <w:t>requirements.</w:t>
      </w:r>
      <w:r w:rsidRPr="0078001C">
        <w:rPr>
          <w:sz w:val="22"/>
        </w:rPr>
        <w:t xml:space="preserve"> </w:t>
      </w:r>
    </w:p>
    <w:p w14:paraId="10A8A1D2" w14:textId="2B1D9300" w:rsidR="009304E9" w:rsidRPr="0078001C" w:rsidRDefault="009304E9" w:rsidP="009304E9">
      <w:pPr>
        <w:pStyle w:val="ListParagraph"/>
        <w:numPr>
          <w:ilvl w:val="0"/>
          <w:numId w:val="15"/>
        </w:numPr>
        <w:rPr>
          <w:sz w:val="22"/>
        </w:rPr>
      </w:pPr>
      <w:r w:rsidRPr="0078001C">
        <w:rPr>
          <w:sz w:val="22"/>
        </w:rPr>
        <w:t xml:space="preserve">Migrate / consolidate </w:t>
      </w:r>
      <w:r w:rsidR="009E743D" w:rsidRPr="0078001C">
        <w:rPr>
          <w:sz w:val="22"/>
        </w:rPr>
        <w:t xml:space="preserve">and maintain </w:t>
      </w:r>
      <w:r w:rsidRPr="0078001C">
        <w:rPr>
          <w:sz w:val="22"/>
        </w:rPr>
        <w:t xml:space="preserve">existing </w:t>
      </w:r>
      <w:r w:rsidR="00951BA9" w:rsidRPr="0078001C">
        <w:rPr>
          <w:sz w:val="22"/>
        </w:rPr>
        <w:t>requirements.</w:t>
      </w:r>
    </w:p>
    <w:p w14:paraId="3054B115" w14:textId="06D1B986" w:rsidR="009304E9" w:rsidRPr="0078001C" w:rsidRDefault="009304E9" w:rsidP="009304E9">
      <w:pPr>
        <w:pStyle w:val="ListParagraph"/>
        <w:numPr>
          <w:ilvl w:val="0"/>
          <w:numId w:val="15"/>
        </w:numPr>
        <w:rPr>
          <w:sz w:val="22"/>
        </w:rPr>
      </w:pPr>
      <w:r w:rsidRPr="0078001C">
        <w:rPr>
          <w:sz w:val="22"/>
        </w:rPr>
        <w:t>Minor update of existing requirements / topics</w:t>
      </w:r>
    </w:p>
    <w:p w14:paraId="3C1A4A85" w14:textId="1B0FB660" w:rsidR="009304E9" w:rsidRPr="0078001C" w:rsidRDefault="009304E9" w:rsidP="009304E9">
      <w:pPr>
        <w:pStyle w:val="ListParagraph"/>
        <w:numPr>
          <w:ilvl w:val="0"/>
          <w:numId w:val="15"/>
        </w:numPr>
        <w:rPr>
          <w:sz w:val="22"/>
        </w:rPr>
      </w:pPr>
      <w:r w:rsidRPr="0078001C">
        <w:rPr>
          <w:sz w:val="22"/>
        </w:rPr>
        <w:t>Major update of existing requirements / topics</w:t>
      </w:r>
    </w:p>
    <w:p w14:paraId="7B17CE16" w14:textId="1AAF15F9" w:rsidR="009304E9" w:rsidRPr="0078001C" w:rsidRDefault="009304E9" w:rsidP="009304E9">
      <w:pPr>
        <w:pStyle w:val="ListParagraph"/>
        <w:numPr>
          <w:ilvl w:val="0"/>
          <w:numId w:val="15"/>
        </w:numPr>
        <w:rPr>
          <w:sz w:val="22"/>
        </w:rPr>
      </w:pPr>
      <w:r w:rsidRPr="0078001C">
        <w:rPr>
          <w:sz w:val="22"/>
        </w:rPr>
        <w:t>New topic / technical criteria</w:t>
      </w:r>
    </w:p>
    <w:p w14:paraId="3755515F" w14:textId="602A8C7B" w:rsidR="0009060A" w:rsidRDefault="0009060A" w:rsidP="0009060A">
      <w:pPr>
        <w:pStyle w:val="Heading2"/>
      </w:pPr>
      <w:bookmarkStart w:id="3" w:name="_Hlk187792902"/>
      <w:r>
        <w:t>Scope of the Standard</w:t>
      </w:r>
    </w:p>
    <w:bookmarkEnd w:id="3"/>
    <w:p w14:paraId="2493E5C1" w14:textId="2D510329" w:rsidR="0009060A" w:rsidRPr="0078001C" w:rsidRDefault="0009060A" w:rsidP="0009060A">
      <w:pPr>
        <w:spacing w:line="240" w:lineRule="auto"/>
        <w:jc w:val="both"/>
        <w:rPr>
          <w:sz w:val="22"/>
        </w:rPr>
      </w:pPr>
      <w:r w:rsidRPr="0078001C">
        <w:rPr>
          <w:sz w:val="22"/>
        </w:rPr>
        <w:t xml:space="preserve">The bridges and structures standard will </w:t>
      </w:r>
      <w:r w:rsidR="00A50EBC" w:rsidRPr="0078001C">
        <w:rPr>
          <w:sz w:val="22"/>
        </w:rPr>
        <w:t>merge</w:t>
      </w:r>
      <w:r w:rsidRPr="0078001C">
        <w:rPr>
          <w:sz w:val="22"/>
        </w:rPr>
        <w:t xml:space="preserve"> </w:t>
      </w:r>
      <w:r w:rsidR="00941817" w:rsidRPr="0078001C">
        <w:rPr>
          <w:sz w:val="22"/>
        </w:rPr>
        <w:t xml:space="preserve">the technical content currently stipulated in </w:t>
      </w:r>
      <w:r w:rsidRPr="0078001C">
        <w:rPr>
          <w:sz w:val="22"/>
        </w:rPr>
        <w:t>following standards:</w:t>
      </w:r>
    </w:p>
    <w:p w14:paraId="07943EC4" w14:textId="77777777" w:rsidR="00941817" w:rsidRPr="0078001C" w:rsidRDefault="0009060A" w:rsidP="00941817">
      <w:pPr>
        <w:pStyle w:val="ListParagraph"/>
        <w:ind w:left="284" w:hanging="284"/>
        <w:rPr>
          <w:sz w:val="22"/>
        </w:rPr>
      </w:pPr>
      <w:r w:rsidRPr="0078001C">
        <w:rPr>
          <w:sz w:val="22"/>
        </w:rPr>
        <w:t>T HR CI 12030 ST Overbridges &amp; Footbridges</w:t>
      </w:r>
    </w:p>
    <w:p w14:paraId="2FAA5498" w14:textId="77777777" w:rsidR="00941817" w:rsidRPr="0078001C" w:rsidRDefault="00941817" w:rsidP="00941817">
      <w:pPr>
        <w:pStyle w:val="ListParagraph"/>
        <w:ind w:left="284" w:hanging="284"/>
        <w:rPr>
          <w:sz w:val="22"/>
        </w:rPr>
      </w:pPr>
      <w:r w:rsidRPr="0078001C">
        <w:rPr>
          <w:sz w:val="22"/>
        </w:rPr>
        <w:t>TfNSW Bridge Technical Direction Manual (BTDs)</w:t>
      </w:r>
    </w:p>
    <w:p w14:paraId="597CE3D5" w14:textId="77777777" w:rsidR="00941817" w:rsidRPr="0078001C" w:rsidRDefault="00941817" w:rsidP="00941817">
      <w:pPr>
        <w:pStyle w:val="ListParagraph"/>
        <w:ind w:left="284" w:hanging="284"/>
        <w:rPr>
          <w:sz w:val="22"/>
        </w:rPr>
      </w:pPr>
      <w:r w:rsidRPr="0078001C">
        <w:rPr>
          <w:sz w:val="22"/>
        </w:rPr>
        <w:t>D&amp;C Projects - Scope of Work and Technical Criteria (SWTC)</w:t>
      </w:r>
    </w:p>
    <w:p w14:paraId="7C8F90B5" w14:textId="007B3C16" w:rsidR="0009060A" w:rsidRPr="0078001C" w:rsidRDefault="00941817" w:rsidP="00941817">
      <w:pPr>
        <w:pStyle w:val="ListParagraph"/>
        <w:ind w:left="284" w:hanging="284"/>
        <w:rPr>
          <w:sz w:val="22"/>
        </w:rPr>
      </w:pPr>
      <w:r w:rsidRPr="0078001C">
        <w:rPr>
          <w:sz w:val="22"/>
        </w:rPr>
        <w:t xml:space="preserve">Design Projects – Professional Series PS261 and PS361. </w:t>
      </w:r>
    </w:p>
    <w:p w14:paraId="28DB931A" w14:textId="467A17D9" w:rsidR="0009060A" w:rsidRDefault="0009060A" w:rsidP="0009060A">
      <w:pPr>
        <w:pStyle w:val="Heading2"/>
      </w:pPr>
      <w:r>
        <w:t>Out of Scope of the Standard</w:t>
      </w:r>
    </w:p>
    <w:p w14:paraId="364284AD" w14:textId="5EE9D4C4" w:rsidR="0009060A" w:rsidRPr="0078001C" w:rsidRDefault="0009060A" w:rsidP="0009060A">
      <w:pPr>
        <w:spacing w:line="240" w:lineRule="auto"/>
        <w:jc w:val="both"/>
        <w:rPr>
          <w:sz w:val="22"/>
        </w:rPr>
      </w:pPr>
      <w:r w:rsidRPr="0078001C">
        <w:rPr>
          <w:sz w:val="22"/>
        </w:rPr>
        <w:t xml:space="preserve">The proposed bridges and structures standard will not </w:t>
      </w:r>
      <w:r w:rsidR="00A50EBC" w:rsidRPr="0078001C">
        <w:rPr>
          <w:sz w:val="22"/>
        </w:rPr>
        <w:t>combine</w:t>
      </w:r>
      <w:r w:rsidRPr="0078001C">
        <w:rPr>
          <w:sz w:val="22"/>
        </w:rPr>
        <w:t xml:space="preserve"> or supersede following standards or criteria:</w:t>
      </w:r>
    </w:p>
    <w:p w14:paraId="30E8AEC6" w14:textId="24E8A50D" w:rsidR="0009060A" w:rsidRPr="0078001C" w:rsidRDefault="0009060A" w:rsidP="0009060A">
      <w:pPr>
        <w:pStyle w:val="ListParagraph"/>
        <w:ind w:left="284" w:hanging="284"/>
        <w:rPr>
          <w:sz w:val="22"/>
        </w:rPr>
      </w:pPr>
      <w:r w:rsidRPr="0078001C">
        <w:rPr>
          <w:sz w:val="22"/>
        </w:rPr>
        <w:t>T HR CI 12020 ST Underbridges</w:t>
      </w:r>
    </w:p>
    <w:p w14:paraId="6985B82C" w14:textId="74710697" w:rsidR="0009060A" w:rsidRPr="0078001C" w:rsidRDefault="0009060A" w:rsidP="0009060A">
      <w:pPr>
        <w:pStyle w:val="ListParagraph"/>
        <w:ind w:left="284" w:hanging="284"/>
        <w:rPr>
          <w:sz w:val="22"/>
        </w:rPr>
      </w:pPr>
      <w:r w:rsidRPr="0078001C">
        <w:rPr>
          <w:sz w:val="22"/>
        </w:rPr>
        <w:t>T HR CI 12002 ST Durability requirements</w:t>
      </w:r>
    </w:p>
    <w:p w14:paraId="49F74C72" w14:textId="1A1AB84D" w:rsidR="0009060A" w:rsidRPr="0078001C" w:rsidRDefault="0009060A" w:rsidP="0009060A">
      <w:pPr>
        <w:pStyle w:val="ListParagraph"/>
        <w:ind w:left="284" w:hanging="284"/>
        <w:rPr>
          <w:sz w:val="22"/>
        </w:rPr>
      </w:pPr>
      <w:r w:rsidRPr="0078001C">
        <w:rPr>
          <w:sz w:val="22"/>
        </w:rPr>
        <w:t>Bridge inspections and maintenance requirements</w:t>
      </w:r>
    </w:p>
    <w:p w14:paraId="2F3C90CD" w14:textId="0E733B71" w:rsidR="0009060A" w:rsidRPr="0078001C" w:rsidRDefault="0009060A" w:rsidP="0009060A">
      <w:pPr>
        <w:pStyle w:val="ListParagraph"/>
        <w:ind w:left="284" w:hanging="284"/>
        <w:rPr>
          <w:sz w:val="22"/>
        </w:rPr>
      </w:pPr>
      <w:r w:rsidRPr="0078001C">
        <w:rPr>
          <w:sz w:val="22"/>
        </w:rPr>
        <w:t>Bridge load rating for TfNSW bridge assets</w:t>
      </w:r>
    </w:p>
    <w:p w14:paraId="418BC4B7" w14:textId="4C1B8CA7" w:rsidR="0009060A" w:rsidRPr="0078001C" w:rsidRDefault="0009060A" w:rsidP="0009060A">
      <w:pPr>
        <w:pStyle w:val="ListParagraph"/>
        <w:ind w:left="284" w:hanging="284"/>
        <w:rPr>
          <w:sz w:val="22"/>
        </w:rPr>
      </w:pPr>
      <w:r w:rsidRPr="0078001C">
        <w:rPr>
          <w:sz w:val="22"/>
        </w:rPr>
        <w:t>Heavy Vehicle assessment requirements</w:t>
      </w:r>
    </w:p>
    <w:p w14:paraId="2A067BD2" w14:textId="23EE8F97" w:rsidR="0009060A" w:rsidRPr="0078001C" w:rsidRDefault="0009060A" w:rsidP="0009060A">
      <w:pPr>
        <w:pStyle w:val="ListParagraph"/>
        <w:ind w:left="284" w:hanging="284"/>
        <w:rPr>
          <w:sz w:val="22"/>
        </w:rPr>
      </w:pPr>
      <w:r w:rsidRPr="0078001C">
        <w:rPr>
          <w:sz w:val="22"/>
        </w:rPr>
        <w:t>Bridge components or systems approval</w:t>
      </w:r>
    </w:p>
    <w:p w14:paraId="55C8EAE0" w14:textId="3DBE08BD" w:rsidR="0009060A" w:rsidRPr="0078001C" w:rsidRDefault="0009060A" w:rsidP="0009060A">
      <w:pPr>
        <w:pStyle w:val="ListParagraph"/>
        <w:ind w:left="284" w:hanging="284"/>
        <w:rPr>
          <w:sz w:val="22"/>
        </w:rPr>
      </w:pPr>
      <w:r w:rsidRPr="0078001C">
        <w:rPr>
          <w:sz w:val="22"/>
        </w:rPr>
        <w:t>Bridge drafting requirements</w:t>
      </w:r>
    </w:p>
    <w:p w14:paraId="17E76713" w14:textId="53DBC29E" w:rsidR="0009060A" w:rsidRPr="0078001C" w:rsidRDefault="0009060A" w:rsidP="0009060A">
      <w:pPr>
        <w:pStyle w:val="ListParagraph"/>
        <w:ind w:left="284" w:hanging="284"/>
        <w:rPr>
          <w:sz w:val="22"/>
        </w:rPr>
      </w:pPr>
      <w:r w:rsidRPr="0078001C">
        <w:rPr>
          <w:sz w:val="22"/>
        </w:rPr>
        <w:t>Bridgework Specifications or Austroads Technical Specifications (ATS)</w:t>
      </w:r>
    </w:p>
    <w:p w14:paraId="42E81507" w14:textId="3B2F6489" w:rsidR="0009060A" w:rsidRPr="0078001C" w:rsidRDefault="0009060A" w:rsidP="0009060A">
      <w:pPr>
        <w:pStyle w:val="ListParagraph"/>
        <w:ind w:left="284" w:hanging="284"/>
        <w:rPr>
          <w:sz w:val="22"/>
        </w:rPr>
      </w:pPr>
      <w:r w:rsidRPr="0078001C">
        <w:rPr>
          <w:sz w:val="22"/>
        </w:rPr>
        <w:t>Standard Drawings</w:t>
      </w:r>
    </w:p>
    <w:p w14:paraId="65E3D1F4" w14:textId="3A09793C" w:rsidR="00941817" w:rsidRDefault="00941817" w:rsidP="00941817">
      <w:pPr>
        <w:pStyle w:val="Heading2"/>
      </w:pPr>
      <w:r>
        <w:t>Application of the Standard</w:t>
      </w:r>
    </w:p>
    <w:p w14:paraId="43B11401" w14:textId="0D851841" w:rsidR="00941817" w:rsidRPr="0078001C" w:rsidRDefault="00941817" w:rsidP="00941817">
      <w:pPr>
        <w:spacing w:line="240" w:lineRule="auto"/>
        <w:jc w:val="both"/>
        <w:rPr>
          <w:sz w:val="22"/>
        </w:rPr>
      </w:pPr>
      <w:r w:rsidRPr="0078001C">
        <w:rPr>
          <w:sz w:val="22"/>
        </w:rPr>
        <w:t>The bridges and structures applicable to the scope include the following:</w:t>
      </w:r>
    </w:p>
    <w:p w14:paraId="78B75BE6" w14:textId="2A5AA674" w:rsidR="00941817" w:rsidRPr="0078001C" w:rsidRDefault="00941817" w:rsidP="00941817">
      <w:pPr>
        <w:pStyle w:val="ListParagraph"/>
        <w:ind w:left="284" w:hanging="284"/>
        <w:rPr>
          <w:sz w:val="22"/>
        </w:rPr>
      </w:pPr>
      <w:r w:rsidRPr="0078001C">
        <w:rPr>
          <w:sz w:val="22"/>
        </w:rPr>
        <w:t>bridges subject to vehicular traffic loadings</w:t>
      </w:r>
    </w:p>
    <w:p w14:paraId="2D4D802A" w14:textId="789C0002" w:rsidR="00941817" w:rsidRPr="0078001C" w:rsidRDefault="00941817" w:rsidP="00941817">
      <w:pPr>
        <w:pStyle w:val="ListParagraph"/>
        <w:ind w:left="284" w:hanging="284"/>
        <w:rPr>
          <w:sz w:val="22"/>
        </w:rPr>
      </w:pPr>
      <w:r w:rsidRPr="0078001C">
        <w:rPr>
          <w:sz w:val="22"/>
        </w:rPr>
        <w:t>culverts or underpass structures subject to vehicular traffic loadings</w:t>
      </w:r>
    </w:p>
    <w:p w14:paraId="113A9D9B" w14:textId="47479284" w:rsidR="00941817" w:rsidRPr="0078001C" w:rsidRDefault="00941817" w:rsidP="00941817">
      <w:pPr>
        <w:pStyle w:val="ListParagraph"/>
        <w:ind w:left="284" w:hanging="284"/>
        <w:rPr>
          <w:sz w:val="22"/>
        </w:rPr>
      </w:pPr>
      <w:r w:rsidRPr="0078001C">
        <w:rPr>
          <w:sz w:val="22"/>
        </w:rPr>
        <w:t>pedestrian, cycleway or shared user path bridges</w:t>
      </w:r>
    </w:p>
    <w:p w14:paraId="10BD0EB1" w14:textId="68022838" w:rsidR="00941817" w:rsidRPr="0078001C" w:rsidRDefault="00941817" w:rsidP="00941817">
      <w:pPr>
        <w:pStyle w:val="ListParagraph"/>
        <w:ind w:left="284" w:hanging="284"/>
        <w:rPr>
          <w:sz w:val="22"/>
        </w:rPr>
      </w:pPr>
      <w:r w:rsidRPr="0078001C">
        <w:rPr>
          <w:sz w:val="22"/>
        </w:rPr>
        <w:t>other structures on bridges or connected to bridges (</w:t>
      </w:r>
      <w:r w:rsidR="003322B9">
        <w:rPr>
          <w:sz w:val="22"/>
        </w:rPr>
        <w:t>e.g</w:t>
      </w:r>
      <w:r w:rsidRPr="0078001C">
        <w:rPr>
          <w:sz w:val="22"/>
        </w:rPr>
        <w:t>. noise wall</w:t>
      </w:r>
      <w:r w:rsidR="003322B9">
        <w:rPr>
          <w:sz w:val="22"/>
        </w:rPr>
        <w:t>s</w:t>
      </w:r>
      <w:r w:rsidRPr="0078001C">
        <w:rPr>
          <w:sz w:val="22"/>
        </w:rPr>
        <w:t>, advertisement sign frame</w:t>
      </w:r>
      <w:r w:rsidR="003322B9">
        <w:rPr>
          <w:sz w:val="22"/>
        </w:rPr>
        <w:t>s</w:t>
      </w:r>
      <w:r w:rsidRPr="0078001C">
        <w:rPr>
          <w:sz w:val="22"/>
        </w:rPr>
        <w:t>, protection screen</w:t>
      </w:r>
      <w:r w:rsidR="003322B9">
        <w:rPr>
          <w:sz w:val="22"/>
        </w:rPr>
        <w:t>s</w:t>
      </w:r>
      <w:r w:rsidRPr="0078001C">
        <w:rPr>
          <w:sz w:val="22"/>
        </w:rPr>
        <w:t>, retaining walls, etc)</w:t>
      </w:r>
    </w:p>
    <w:p w14:paraId="3FE94570" w14:textId="1DA767B4" w:rsidR="00941817" w:rsidRPr="0078001C" w:rsidRDefault="00941817" w:rsidP="00941817">
      <w:pPr>
        <w:pStyle w:val="ListParagraph"/>
        <w:ind w:left="284" w:hanging="284"/>
        <w:rPr>
          <w:sz w:val="22"/>
        </w:rPr>
      </w:pPr>
      <w:r w:rsidRPr="0078001C">
        <w:rPr>
          <w:sz w:val="22"/>
        </w:rPr>
        <w:t>bridges and structures subject to light rail loadings</w:t>
      </w:r>
    </w:p>
    <w:p w14:paraId="2D12B41D" w14:textId="16243F9B" w:rsidR="00941817" w:rsidRPr="0078001C" w:rsidRDefault="00941817" w:rsidP="00941817">
      <w:pPr>
        <w:pStyle w:val="ListParagraph"/>
        <w:ind w:left="284" w:hanging="284"/>
        <w:rPr>
          <w:sz w:val="22"/>
        </w:rPr>
      </w:pPr>
      <w:r w:rsidRPr="0078001C">
        <w:rPr>
          <w:sz w:val="22"/>
        </w:rPr>
        <w:t>dive structures (not part of tunnel structures)</w:t>
      </w:r>
    </w:p>
    <w:p w14:paraId="5202B3C4" w14:textId="6ED17234" w:rsidR="00D314E7" w:rsidRPr="0078001C" w:rsidRDefault="00D314E7" w:rsidP="00D314E7">
      <w:pPr>
        <w:spacing w:line="240" w:lineRule="auto"/>
        <w:jc w:val="both"/>
        <w:rPr>
          <w:sz w:val="22"/>
        </w:rPr>
      </w:pPr>
      <w:r w:rsidRPr="0078001C">
        <w:rPr>
          <w:sz w:val="22"/>
        </w:rPr>
        <w:t>Bridges and structures not applicable to the scope include the following:</w:t>
      </w:r>
    </w:p>
    <w:p w14:paraId="1A57F627" w14:textId="77777777" w:rsidR="007E6702" w:rsidRPr="0078001C" w:rsidRDefault="007E6702" w:rsidP="00D314E7">
      <w:pPr>
        <w:pStyle w:val="ListParagraph"/>
        <w:ind w:left="284" w:hanging="284"/>
        <w:rPr>
          <w:sz w:val="22"/>
        </w:rPr>
      </w:pPr>
      <w:r w:rsidRPr="0078001C">
        <w:rPr>
          <w:sz w:val="22"/>
        </w:rPr>
        <w:t>bridges subject to rail loadings</w:t>
      </w:r>
    </w:p>
    <w:p w14:paraId="0A7E3124" w14:textId="31B83095" w:rsidR="007E6702" w:rsidRPr="0078001C" w:rsidRDefault="00CE4DD2" w:rsidP="00D314E7">
      <w:pPr>
        <w:pStyle w:val="ListParagraph"/>
        <w:ind w:left="284" w:hanging="284"/>
        <w:rPr>
          <w:sz w:val="22"/>
        </w:rPr>
      </w:pPr>
      <w:r>
        <w:rPr>
          <w:sz w:val="22"/>
        </w:rPr>
        <w:lastRenderedPageBreak/>
        <w:t>r</w:t>
      </w:r>
      <w:r w:rsidR="007E6702" w:rsidRPr="0078001C">
        <w:rPr>
          <w:sz w:val="22"/>
        </w:rPr>
        <w:t>etaining wall</w:t>
      </w:r>
      <w:r>
        <w:rPr>
          <w:sz w:val="22"/>
        </w:rPr>
        <w:t>s</w:t>
      </w:r>
      <w:r w:rsidR="007E6702" w:rsidRPr="0078001C">
        <w:rPr>
          <w:sz w:val="22"/>
        </w:rPr>
        <w:t xml:space="preserve"> (not connected to bridge abutments) on road / rail </w:t>
      </w:r>
      <w:r w:rsidR="00951BA9" w:rsidRPr="0078001C">
        <w:rPr>
          <w:sz w:val="22"/>
        </w:rPr>
        <w:t>corridors.</w:t>
      </w:r>
    </w:p>
    <w:p w14:paraId="3CA817F0" w14:textId="004E3777" w:rsidR="007E6702" w:rsidRPr="0078001C" w:rsidRDefault="00CE4DD2" w:rsidP="00D314E7">
      <w:pPr>
        <w:pStyle w:val="ListParagraph"/>
        <w:ind w:left="284" w:hanging="284"/>
        <w:rPr>
          <w:sz w:val="22"/>
        </w:rPr>
      </w:pPr>
      <w:r>
        <w:rPr>
          <w:sz w:val="22"/>
        </w:rPr>
        <w:t>n</w:t>
      </w:r>
      <w:r w:rsidR="007E6702" w:rsidRPr="0078001C">
        <w:rPr>
          <w:sz w:val="22"/>
        </w:rPr>
        <w:t>oise wall</w:t>
      </w:r>
      <w:r>
        <w:rPr>
          <w:sz w:val="22"/>
        </w:rPr>
        <w:t>s</w:t>
      </w:r>
      <w:r w:rsidR="007E6702" w:rsidRPr="0078001C">
        <w:rPr>
          <w:sz w:val="22"/>
        </w:rPr>
        <w:t xml:space="preserve"> (not on bridge structures) on road / rail corridors  </w:t>
      </w:r>
    </w:p>
    <w:p w14:paraId="77876183" w14:textId="1AF4FD8A" w:rsidR="00D314E7" w:rsidRPr="0078001C" w:rsidRDefault="00D314E7" w:rsidP="00D314E7">
      <w:pPr>
        <w:pStyle w:val="ListParagraph"/>
        <w:ind w:left="284" w:hanging="284"/>
        <w:rPr>
          <w:sz w:val="22"/>
        </w:rPr>
      </w:pPr>
      <w:r w:rsidRPr="0078001C">
        <w:rPr>
          <w:sz w:val="22"/>
        </w:rPr>
        <w:t xml:space="preserve">tunnel </w:t>
      </w:r>
      <w:r w:rsidR="00951BA9" w:rsidRPr="0078001C">
        <w:rPr>
          <w:sz w:val="22"/>
        </w:rPr>
        <w:t>structures.</w:t>
      </w:r>
    </w:p>
    <w:p w14:paraId="1FB4C864" w14:textId="20A54A5C" w:rsidR="00D314E7" w:rsidRPr="0078001C" w:rsidRDefault="00D314E7" w:rsidP="00D314E7">
      <w:pPr>
        <w:pStyle w:val="ListParagraph"/>
        <w:ind w:left="284" w:hanging="284"/>
        <w:rPr>
          <w:sz w:val="22"/>
        </w:rPr>
      </w:pPr>
      <w:r w:rsidRPr="0078001C">
        <w:rPr>
          <w:sz w:val="22"/>
        </w:rPr>
        <w:t>maritime structures</w:t>
      </w:r>
    </w:p>
    <w:p w14:paraId="75786A15" w14:textId="436E3A68" w:rsidR="00D314E7" w:rsidRPr="0078001C" w:rsidRDefault="00D314E7" w:rsidP="00D314E7">
      <w:pPr>
        <w:pStyle w:val="ListParagraph"/>
        <w:ind w:left="284" w:hanging="284"/>
        <w:rPr>
          <w:sz w:val="22"/>
        </w:rPr>
      </w:pPr>
      <w:r w:rsidRPr="0078001C">
        <w:rPr>
          <w:sz w:val="22"/>
        </w:rPr>
        <w:t>pavements</w:t>
      </w:r>
    </w:p>
    <w:p w14:paraId="6D8AEFF1" w14:textId="7E492B2F" w:rsidR="00D314E7" w:rsidRPr="0078001C" w:rsidRDefault="00D314E7" w:rsidP="00D314E7">
      <w:pPr>
        <w:pStyle w:val="ListParagraph"/>
        <w:ind w:left="284" w:hanging="284"/>
        <w:rPr>
          <w:sz w:val="22"/>
        </w:rPr>
      </w:pPr>
      <w:r w:rsidRPr="0078001C">
        <w:rPr>
          <w:sz w:val="22"/>
        </w:rPr>
        <w:t xml:space="preserve">road furniture, such as sign and lighting </w:t>
      </w:r>
      <w:r w:rsidR="0001795A" w:rsidRPr="0078001C">
        <w:rPr>
          <w:sz w:val="22"/>
        </w:rPr>
        <w:t>structures, poles,</w:t>
      </w:r>
      <w:r w:rsidRPr="0078001C">
        <w:rPr>
          <w:sz w:val="22"/>
        </w:rPr>
        <w:t xml:space="preserve"> and </w:t>
      </w:r>
      <w:r w:rsidR="00951BA9" w:rsidRPr="0078001C">
        <w:rPr>
          <w:sz w:val="22"/>
        </w:rPr>
        <w:t>gantries.</w:t>
      </w:r>
    </w:p>
    <w:p w14:paraId="396F0A8D" w14:textId="77777777" w:rsidR="00737579" w:rsidRDefault="00737579" w:rsidP="003651E2">
      <w:pPr>
        <w:pStyle w:val="Heading1"/>
      </w:pPr>
      <w:r>
        <w:t>Conclusion</w:t>
      </w:r>
    </w:p>
    <w:p w14:paraId="084FF05D" w14:textId="0423443C" w:rsidR="0078001C" w:rsidRPr="0078001C" w:rsidRDefault="0078001C" w:rsidP="0078001C">
      <w:pPr>
        <w:spacing w:line="240" w:lineRule="auto"/>
        <w:jc w:val="both"/>
        <w:rPr>
          <w:sz w:val="22"/>
        </w:rPr>
      </w:pPr>
      <w:r w:rsidRPr="0078001C">
        <w:rPr>
          <w:sz w:val="22"/>
        </w:rPr>
        <w:t xml:space="preserve">Two fundamental elements underpin the development of any new TfNSW Standard or </w:t>
      </w:r>
      <w:r w:rsidR="00CE3AAC">
        <w:rPr>
          <w:sz w:val="22"/>
        </w:rPr>
        <w:t xml:space="preserve">the </w:t>
      </w:r>
      <w:r w:rsidRPr="0078001C">
        <w:rPr>
          <w:sz w:val="22"/>
        </w:rPr>
        <w:t>modification of an existing standard:</w:t>
      </w:r>
    </w:p>
    <w:p w14:paraId="01B8D0B9" w14:textId="4216C339" w:rsidR="0078001C" w:rsidRPr="00E717D4" w:rsidRDefault="0078001C" w:rsidP="0078001C">
      <w:pPr>
        <w:pStyle w:val="ListParagraph"/>
        <w:ind w:left="284" w:hanging="284"/>
        <w:rPr>
          <w:sz w:val="22"/>
        </w:rPr>
      </w:pPr>
      <w:r w:rsidRPr="00E717D4">
        <w:rPr>
          <w:sz w:val="22"/>
        </w:rPr>
        <w:t>Risk Management: risk-based and performance-based requirements demonstrated by an argument with evidence that safety will be ensured so far as is reasonably practicable.</w:t>
      </w:r>
    </w:p>
    <w:p w14:paraId="76B17E6A" w14:textId="68660CD5" w:rsidR="0078001C" w:rsidRPr="00E717D4" w:rsidRDefault="0078001C" w:rsidP="0078001C">
      <w:pPr>
        <w:pStyle w:val="ListParagraph"/>
        <w:ind w:left="284" w:hanging="284"/>
        <w:rPr>
          <w:sz w:val="22"/>
        </w:rPr>
      </w:pPr>
      <w:r w:rsidRPr="00E717D4">
        <w:rPr>
          <w:sz w:val="22"/>
        </w:rPr>
        <w:t xml:space="preserve">Value Creation: intelligent compliance and asset lifecycle consideration demonstrated by an argument with </w:t>
      </w:r>
      <w:r w:rsidRPr="00E717D4">
        <w:rPr>
          <w:rFonts w:cs="Arial"/>
          <w:sz w:val="22"/>
          <w:lang w:eastAsia="en-AU"/>
        </w:rPr>
        <w:t>evidence of optimal asset management outcomes across whole of life</w:t>
      </w:r>
      <w:r w:rsidR="00C75664">
        <w:rPr>
          <w:rFonts w:cs="Arial"/>
          <w:sz w:val="22"/>
          <w:lang w:eastAsia="en-AU"/>
        </w:rPr>
        <w:t xml:space="preserve"> cycle</w:t>
      </w:r>
      <w:r w:rsidRPr="00E717D4">
        <w:rPr>
          <w:rFonts w:cs="Arial"/>
          <w:sz w:val="22"/>
          <w:lang w:eastAsia="en-AU"/>
        </w:rPr>
        <w:t>.</w:t>
      </w:r>
    </w:p>
    <w:p w14:paraId="73F4A8E6" w14:textId="60C75904" w:rsidR="005C3473" w:rsidRDefault="0078001C" w:rsidP="0078001C">
      <w:pPr>
        <w:spacing w:line="240" w:lineRule="auto"/>
        <w:jc w:val="both"/>
        <w:rPr>
          <w:sz w:val="22"/>
        </w:rPr>
      </w:pPr>
      <w:r w:rsidRPr="0078001C">
        <w:rPr>
          <w:sz w:val="22"/>
        </w:rPr>
        <w:t>TfNSW Standards will continue to harmonise and evolve in accordance with the TfNSW Standards Management Framework</w:t>
      </w:r>
      <w:r w:rsidR="00063820">
        <w:rPr>
          <w:sz w:val="22"/>
        </w:rPr>
        <w:t xml:space="preserve"> (SMF)</w:t>
      </w:r>
      <w:r w:rsidRPr="0078001C">
        <w:rPr>
          <w:sz w:val="22"/>
        </w:rPr>
        <w:t xml:space="preserve">. In addition to ensuring ongoing technical excellence, standard requirements will also adapt to </w:t>
      </w:r>
      <w:r w:rsidR="000C2D7E">
        <w:rPr>
          <w:sz w:val="22"/>
        </w:rPr>
        <w:t>i</w:t>
      </w:r>
      <w:r w:rsidRPr="0078001C">
        <w:rPr>
          <w:sz w:val="22"/>
        </w:rPr>
        <w:t>ncorporate sustainability, circular economy, climate change, customer demand, emerging technologies and latest industry best practice.</w:t>
      </w:r>
    </w:p>
    <w:p w14:paraId="799F74BA" w14:textId="244FB5E3" w:rsidR="00E717D4" w:rsidRDefault="00E717D4" w:rsidP="0078001C">
      <w:pPr>
        <w:spacing w:line="240" w:lineRule="auto"/>
        <w:jc w:val="both"/>
        <w:rPr>
          <w:sz w:val="22"/>
        </w:rPr>
      </w:pPr>
      <w:r>
        <w:rPr>
          <w:sz w:val="22"/>
        </w:rPr>
        <w:t xml:space="preserve">Therefore, the development of this new Bridges and Structures Design Standard </w:t>
      </w:r>
      <w:r w:rsidR="009E1E31">
        <w:rPr>
          <w:sz w:val="22"/>
        </w:rPr>
        <w:t>will</w:t>
      </w:r>
      <w:r>
        <w:rPr>
          <w:sz w:val="22"/>
        </w:rPr>
        <w:t xml:space="preserve"> </w:t>
      </w:r>
      <w:r w:rsidR="0047619E">
        <w:rPr>
          <w:sz w:val="22"/>
        </w:rPr>
        <w:t>ensure</w:t>
      </w:r>
      <w:r>
        <w:rPr>
          <w:sz w:val="22"/>
        </w:rPr>
        <w:t xml:space="preserve"> that valid risks are addressed such as: </w:t>
      </w:r>
    </w:p>
    <w:p w14:paraId="299A1F5F" w14:textId="529D8D25" w:rsidR="00E717D4" w:rsidRPr="00E717D4" w:rsidRDefault="00E717D4" w:rsidP="00E717D4">
      <w:pPr>
        <w:pStyle w:val="ListParagraph"/>
        <w:ind w:left="284" w:hanging="284"/>
        <w:rPr>
          <w:sz w:val="22"/>
        </w:rPr>
      </w:pPr>
      <w:r w:rsidRPr="00E717D4">
        <w:rPr>
          <w:sz w:val="22"/>
        </w:rPr>
        <w:t>Captur</w:t>
      </w:r>
      <w:r w:rsidR="0047619E">
        <w:rPr>
          <w:sz w:val="22"/>
        </w:rPr>
        <w:t>ing</w:t>
      </w:r>
      <w:r w:rsidRPr="00E717D4">
        <w:rPr>
          <w:sz w:val="22"/>
        </w:rPr>
        <w:t xml:space="preserve"> design requirements in </w:t>
      </w:r>
      <w:r w:rsidR="00660AB1">
        <w:rPr>
          <w:sz w:val="22"/>
        </w:rPr>
        <w:t>single</w:t>
      </w:r>
      <w:r w:rsidR="00444691" w:rsidRPr="00E717D4">
        <w:rPr>
          <w:sz w:val="22"/>
        </w:rPr>
        <w:t xml:space="preserve"> source</w:t>
      </w:r>
      <w:r w:rsidRPr="00E717D4">
        <w:rPr>
          <w:sz w:val="22"/>
        </w:rPr>
        <w:t xml:space="preserve"> of technical standard, under Standard Management Framework.</w:t>
      </w:r>
    </w:p>
    <w:p w14:paraId="18B24B31" w14:textId="779187C6" w:rsidR="00E717D4" w:rsidRPr="00E717D4" w:rsidRDefault="00E717D4" w:rsidP="00E717D4">
      <w:pPr>
        <w:pStyle w:val="ListParagraph"/>
        <w:ind w:left="284" w:hanging="284"/>
        <w:rPr>
          <w:sz w:val="22"/>
        </w:rPr>
      </w:pPr>
      <w:r w:rsidRPr="00E717D4">
        <w:rPr>
          <w:sz w:val="22"/>
        </w:rPr>
        <w:t>Manag</w:t>
      </w:r>
      <w:r w:rsidR="006C4D21">
        <w:rPr>
          <w:sz w:val="22"/>
        </w:rPr>
        <w:t>ing</w:t>
      </w:r>
      <w:r w:rsidRPr="00E717D4">
        <w:rPr>
          <w:sz w:val="22"/>
        </w:rPr>
        <w:t xml:space="preserve"> departure </w:t>
      </w:r>
      <w:r w:rsidR="0024335E">
        <w:rPr>
          <w:sz w:val="22"/>
        </w:rPr>
        <w:t>or</w:t>
      </w:r>
      <w:r w:rsidRPr="00E717D4">
        <w:rPr>
          <w:sz w:val="22"/>
        </w:rPr>
        <w:t xml:space="preserve"> non-compliant to design requirements through</w:t>
      </w:r>
      <w:r w:rsidR="004C2578">
        <w:rPr>
          <w:sz w:val="22"/>
        </w:rPr>
        <w:t xml:space="preserve"> the</w:t>
      </w:r>
      <w:r w:rsidRPr="00E717D4">
        <w:rPr>
          <w:sz w:val="22"/>
        </w:rPr>
        <w:t xml:space="preserve"> Concession to TfNSW Standards / Non-Conformance processes</w:t>
      </w:r>
      <w:r w:rsidR="00C41047" w:rsidRPr="00E717D4">
        <w:rPr>
          <w:sz w:val="22"/>
        </w:rPr>
        <w:t xml:space="preserve">. </w:t>
      </w:r>
    </w:p>
    <w:p w14:paraId="0AFB5BD0" w14:textId="5B015399" w:rsidR="00E717D4" w:rsidRPr="00E717D4" w:rsidRDefault="004C2578" w:rsidP="00E717D4">
      <w:pPr>
        <w:pStyle w:val="ListParagraph"/>
        <w:ind w:left="284" w:hanging="284"/>
        <w:rPr>
          <w:sz w:val="22"/>
        </w:rPr>
      </w:pPr>
      <w:r>
        <w:rPr>
          <w:sz w:val="22"/>
        </w:rPr>
        <w:t>Ensuring c</w:t>
      </w:r>
      <w:r w:rsidR="00E717D4" w:rsidRPr="00E717D4">
        <w:rPr>
          <w:sz w:val="22"/>
        </w:rPr>
        <w:t xml:space="preserve">onsistent technical requirements for bridge design </w:t>
      </w:r>
      <w:r>
        <w:rPr>
          <w:sz w:val="22"/>
        </w:rPr>
        <w:t>across</w:t>
      </w:r>
      <w:r w:rsidR="00E717D4" w:rsidRPr="00E717D4">
        <w:rPr>
          <w:sz w:val="22"/>
        </w:rPr>
        <w:t xml:space="preserve"> TfNSW bridge asset, </w:t>
      </w:r>
      <w:r w:rsidR="00E4393E">
        <w:rPr>
          <w:sz w:val="22"/>
        </w:rPr>
        <w:t>regardless of</w:t>
      </w:r>
      <w:r w:rsidR="00E717D4" w:rsidRPr="00E717D4">
        <w:rPr>
          <w:sz w:val="22"/>
        </w:rPr>
        <w:t xml:space="preserve"> procurement methods</w:t>
      </w:r>
      <w:r w:rsidR="00B17071">
        <w:rPr>
          <w:sz w:val="22"/>
        </w:rPr>
        <w:t>,</w:t>
      </w:r>
      <w:r w:rsidR="00E717D4" w:rsidRPr="00E717D4">
        <w:rPr>
          <w:sz w:val="22"/>
        </w:rPr>
        <w:t xml:space="preserve"> transport modes</w:t>
      </w:r>
      <w:r w:rsidR="00B17071">
        <w:rPr>
          <w:sz w:val="22"/>
        </w:rPr>
        <w:t>, or</w:t>
      </w:r>
      <w:r w:rsidR="00E717D4" w:rsidRPr="00E717D4">
        <w:rPr>
          <w:sz w:val="22"/>
        </w:rPr>
        <w:t xml:space="preserve"> project types.</w:t>
      </w:r>
    </w:p>
    <w:p w14:paraId="67FDF933" w14:textId="36024456" w:rsidR="00E717D4" w:rsidRPr="00E717D4" w:rsidRDefault="00E717D4" w:rsidP="52EBDB62">
      <w:pPr>
        <w:pStyle w:val="ListParagraph"/>
        <w:ind w:left="284" w:hanging="284"/>
        <w:rPr>
          <w:sz w:val="22"/>
        </w:rPr>
      </w:pPr>
      <w:r w:rsidRPr="52EBDB62">
        <w:rPr>
          <w:sz w:val="22"/>
        </w:rPr>
        <w:t>Minimis</w:t>
      </w:r>
      <w:r w:rsidR="00B17071">
        <w:rPr>
          <w:sz w:val="22"/>
        </w:rPr>
        <w:t>ing the</w:t>
      </w:r>
      <w:r w:rsidRPr="52EBDB62">
        <w:rPr>
          <w:sz w:val="22"/>
        </w:rPr>
        <w:t xml:space="preserve"> number of standard </w:t>
      </w:r>
      <w:r w:rsidR="00951BA9" w:rsidRPr="52EBDB62">
        <w:rPr>
          <w:sz w:val="22"/>
        </w:rPr>
        <w:t>artefact</w:t>
      </w:r>
      <w:r w:rsidR="00B17071">
        <w:rPr>
          <w:sz w:val="22"/>
        </w:rPr>
        <w:t>s</w:t>
      </w:r>
      <w:r w:rsidR="00951BA9" w:rsidRPr="52EBDB62">
        <w:rPr>
          <w:sz w:val="22"/>
        </w:rPr>
        <w:t xml:space="preserve"> and</w:t>
      </w:r>
      <w:r w:rsidRPr="52EBDB62">
        <w:rPr>
          <w:sz w:val="22"/>
        </w:rPr>
        <w:t xml:space="preserve"> streamlin</w:t>
      </w:r>
      <w:r w:rsidR="00B17071">
        <w:rPr>
          <w:sz w:val="22"/>
        </w:rPr>
        <w:t>ing</w:t>
      </w:r>
      <w:r w:rsidRPr="52EBDB62">
        <w:rPr>
          <w:sz w:val="22"/>
        </w:rPr>
        <w:t xml:space="preserve"> process</w:t>
      </w:r>
      <w:r w:rsidR="00B17071">
        <w:rPr>
          <w:sz w:val="22"/>
        </w:rPr>
        <w:t>es</w:t>
      </w:r>
      <w:r w:rsidR="00461943">
        <w:rPr>
          <w:sz w:val="22"/>
        </w:rPr>
        <w:t>,</w:t>
      </w:r>
      <w:r w:rsidRPr="52EBDB62">
        <w:rPr>
          <w:sz w:val="22"/>
        </w:rPr>
        <w:t xml:space="preserve"> such as immediate standard update through </w:t>
      </w:r>
      <w:r w:rsidR="0016247E">
        <w:rPr>
          <w:sz w:val="22"/>
        </w:rPr>
        <w:t>T</w:t>
      </w:r>
      <w:r w:rsidRPr="52EBDB62">
        <w:rPr>
          <w:sz w:val="22"/>
        </w:rPr>
        <w:t xml:space="preserve">echnical </w:t>
      </w:r>
      <w:r w:rsidR="0016247E">
        <w:rPr>
          <w:sz w:val="22"/>
        </w:rPr>
        <w:t>D</w:t>
      </w:r>
      <w:r w:rsidRPr="52EBDB62">
        <w:rPr>
          <w:sz w:val="22"/>
        </w:rPr>
        <w:t>irection</w:t>
      </w:r>
      <w:r w:rsidR="00D426E3">
        <w:rPr>
          <w:sz w:val="22"/>
        </w:rPr>
        <w:t xml:space="preserve"> (TD)</w:t>
      </w:r>
      <w:r w:rsidRPr="52EBDB62">
        <w:rPr>
          <w:sz w:val="22"/>
        </w:rPr>
        <w:t xml:space="preserve"> under </w:t>
      </w:r>
      <w:r w:rsidR="00AF3E31">
        <w:rPr>
          <w:sz w:val="22"/>
        </w:rPr>
        <w:t xml:space="preserve">the </w:t>
      </w:r>
      <w:r w:rsidRPr="52EBDB62">
        <w:rPr>
          <w:sz w:val="22"/>
        </w:rPr>
        <w:t xml:space="preserve">SMF and </w:t>
      </w:r>
      <w:r w:rsidR="001A57C3">
        <w:rPr>
          <w:sz w:val="22"/>
        </w:rPr>
        <w:t>routine</w:t>
      </w:r>
      <w:r w:rsidR="00D426E3">
        <w:rPr>
          <w:sz w:val="22"/>
        </w:rPr>
        <w:t xml:space="preserve"> </w:t>
      </w:r>
      <w:r w:rsidRPr="52EBDB62">
        <w:rPr>
          <w:sz w:val="22"/>
        </w:rPr>
        <w:t xml:space="preserve">standard update </w:t>
      </w:r>
      <w:r w:rsidR="001A57C3">
        <w:rPr>
          <w:sz w:val="22"/>
        </w:rPr>
        <w:t xml:space="preserve">program </w:t>
      </w:r>
      <w:r w:rsidRPr="52EBDB62">
        <w:rPr>
          <w:sz w:val="22"/>
        </w:rPr>
        <w:t>to consolidate TDs in timely manner.</w:t>
      </w:r>
    </w:p>
    <w:p w14:paraId="154E140A" w14:textId="2598F952" w:rsidR="00E717D4" w:rsidRPr="00E717D4" w:rsidRDefault="00E717D4" w:rsidP="00E717D4">
      <w:pPr>
        <w:pStyle w:val="ListParagraph"/>
        <w:ind w:left="284" w:hanging="284"/>
        <w:rPr>
          <w:sz w:val="22"/>
        </w:rPr>
      </w:pPr>
      <w:r w:rsidRPr="00E717D4">
        <w:rPr>
          <w:sz w:val="22"/>
        </w:rPr>
        <w:t>Improv</w:t>
      </w:r>
      <w:r w:rsidR="00AE0688">
        <w:rPr>
          <w:sz w:val="22"/>
        </w:rPr>
        <w:t>ing</w:t>
      </w:r>
      <w:r w:rsidRPr="00E717D4">
        <w:rPr>
          <w:sz w:val="22"/>
        </w:rPr>
        <w:t xml:space="preserve"> industry compliance in the delivery of projects related to bridges &amp; structures design and construction.</w:t>
      </w:r>
    </w:p>
    <w:p w14:paraId="6F63766E" w14:textId="155DFBC2" w:rsidR="00E717D4" w:rsidRPr="00E717D4" w:rsidRDefault="00E717D4" w:rsidP="00E717D4">
      <w:pPr>
        <w:pStyle w:val="ListParagraph"/>
        <w:ind w:left="284" w:hanging="284"/>
        <w:rPr>
          <w:sz w:val="22"/>
        </w:rPr>
      </w:pPr>
      <w:r w:rsidRPr="00E717D4">
        <w:rPr>
          <w:sz w:val="22"/>
        </w:rPr>
        <w:t>Reduc</w:t>
      </w:r>
      <w:r w:rsidR="005D0CD5">
        <w:rPr>
          <w:sz w:val="22"/>
        </w:rPr>
        <w:t>ing</w:t>
      </w:r>
      <w:r w:rsidRPr="00E717D4">
        <w:rPr>
          <w:sz w:val="22"/>
        </w:rPr>
        <w:t xml:space="preserve"> project dispute</w:t>
      </w:r>
      <w:r w:rsidR="005D0CD5">
        <w:rPr>
          <w:sz w:val="22"/>
        </w:rPr>
        <w:t>s</w:t>
      </w:r>
      <w:r w:rsidRPr="00E717D4">
        <w:rPr>
          <w:sz w:val="22"/>
        </w:rPr>
        <w:t xml:space="preserve"> and non-compliant solutions unless otherwise managed through </w:t>
      </w:r>
      <w:r w:rsidR="00C11958">
        <w:rPr>
          <w:sz w:val="22"/>
        </w:rPr>
        <w:t xml:space="preserve">the </w:t>
      </w:r>
      <w:r w:rsidRPr="00E717D4">
        <w:rPr>
          <w:sz w:val="22"/>
        </w:rPr>
        <w:t>Concession process, i.e. demonstrat</w:t>
      </w:r>
      <w:r w:rsidR="00C11958">
        <w:rPr>
          <w:sz w:val="22"/>
        </w:rPr>
        <w:t>ing</w:t>
      </w:r>
      <w:r w:rsidRPr="00E717D4">
        <w:rPr>
          <w:sz w:val="22"/>
        </w:rPr>
        <w:t xml:space="preserve"> safety in SFAIRP, and value creation.</w:t>
      </w:r>
    </w:p>
    <w:p w14:paraId="76CD9E83" w14:textId="6A5A64C7" w:rsidR="00E717D4" w:rsidRPr="0078001C" w:rsidRDefault="00C11958" w:rsidP="00E717D4">
      <w:pPr>
        <w:pStyle w:val="ListParagraph"/>
        <w:ind w:left="284" w:hanging="284"/>
        <w:rPr>
          <w:sz w:val="22"/>
        </w:rPr>
      </w:pPr>
      <w:r w:rsidRPr="00E717D4">
        <w:rPr>
          <w:sz w:val="22"/>
        </w:rPr>
        <w:t>Enabl</w:t>
      </w:r>
      <w:r>
        <w:rPr>
          <w:sz w:val="22"/>
        </w:rPr>
        <w:t>ing</w:t>
      </w:r>
      <w:r w:rsidR="00E717D4" w:rsidRPr="00E717D4">
        <w:rPr>
          <w:sz w:val="22"/>
        </w:rPr>
        <w:t xml:space="preserve"> sustainable levels of technical capability to develop new criteria or adopt innovations / technologies and maintain technical </w:t>
      </w:r>
      <w:r w:rsidR="00951BA9" w:rsidRPr="00E717D4">
        <w:rPr>
          <w:sz w:val="22"/>
        </w:rPr>
        <w:t>documents.</w:t>
      </w:r>
    </w:p>
    <w:p w14:paraId="0E74D729" w14:textId="4B966F28" w:rsidR="005C3473" w:rsidRPr="003955E3" w:rsidRDefault="00B66312" w:rsidP="005C3473">
      <w:pPr>
        <w:pStyle w:val="Heading1"/>
      </w:pPr>
      <w:r>
        <w:t>References</w:t>
      </w:r>
    </w:p>
    <w:p w14:paraId="2E24B6A6" w14:textId="323DC45C" w:rsidR="00D15439" w:rsidRPr="00F9789E" w:rsidRDefault="00D15439" w:rsidP="00093E9B">
      <w:pPr>
        <w:pStyle w:val="Referencelist"/>
        <w:rPr>
          <w:sz w:val="22"/>
        </w:rPr>
      </w:pPr>
      <w:r w:rsidRPr="00F9789E">
        <w:rPr>
          <w:sz w:val="22"/>
        </w:rPr>
        <w:t>TfNSW, published March 2023 2</w:t>
      </w:r>
      <w:r w:rsidRPr="00F9789E">
        <w:rPr>
          <w:sz w:val="22"/>
          <w:vertAlign w:val="superscript"/>
        </w:rPr>
        <w:t>nd</w:t>
      </w:r>
      <w:r w:rsidRPr="00F9789E">
        <w:rPr>
          <w:sz w:val="22"/>
        </w:rPr>
        <w:t xml:space="preserve"> Edition, </w:t>
      </w:r>
      <w:r w:rsidRPr="00F9789E">
        <w:rPr>
          <w:i/>
          <w:iCs/>
          <w:sz w:val="22"/>
        </w:rPr>
        <w:t>Standards Management Framework Transport for NSW</w:t>
      </w:r>
      <w:r w:rsidRPr="00F9789E">
        <w:rPr>
          <w:sz w:val="22"/>
        </w:rPr>
        <w:t xml:space="preserve"> Version: v2.0</w:t>
      </w:r>
    </w:p>
    <w:p w14:paraId="7B69D276" w14:textId="43B04E72" w:rsidR="00D15439" w:rsidRPr="00F9789E" w:rsidRDefault="00D15439" w:rsidP="00093E9B">
      <w:pPr>
        <w:pStyle w:val="Referencelist"/>
        <w:rPr>
          <w:sz w:val="22"/>
        </w:rPr>
      </w:pPr>
      <w:r w:rsidRPr="00F9789E">
        <w:rPr>
          <w:sz w:val="22"/>
        </w:rPr>
        <w:t>TfNSW, 2</w:t>
      </w:r>
      <w:r w:rsidR="00740922" w:rsidRPr="00F9789E">
        <w:rPr>
          <w:sz w:val="22"/>
        </w:rPr>
        <w:t>3</w:t>
      </w:r>
      <w:r w:rsidRPr="00F9789E">
        <w:rPr>
          <w:sz w:val="22"/>
        </w:rPr>
        <w:t xml:space="preserve"> </w:t>
      </w:r>
      <w:r w:rsidR="00740922" w:rsidRPr="00F9789E">
        <w:rPr>
          <w:sz w:val="22"/>
        </w:rPr>
        <w:t>November</w:t>
      </w:r>
      <w:r w:rsidRPr="00F9789E">
        <w:rPr>
          <w:sz w:val="22"/>
        </w:rPr>
        <w:t xml:space="preserve"> 202</w:t>
      </w:r>
      <w:r w:rsidR="00740922" w:rsidRPr="00F9789E">
        <w:rPr>
          <w:sz w:val="22"/>
        </w:rPr>
        <w:t>3</w:t>
      </w:r>
      <w:r w:rsidRPr="00F9789E">
        <w:rPr>
          <w:sz w:val="22"/>
        </w:rPr>
        <w:t>, TS 00001.1</w:t>
      </w:r>
      <w:r w:rsidR="00740922" w:rsidRPr="00F9789E">
        <w:rPr>
          <w:sz w:val="22"/>
        </w:rPr>
        <w:t>:2.0</w:t>
      </w:r>
      <w:r w:rsidRPr="00F9789E">
        <w:rPr>
          <w:sz w:val="22"/>
        </w:rPr>
        <w:t xml:space="preserve"> Standards Review and Development Version: </w:t>
      </w:r>
      <w:r w:rsidR="00740922" w:rsidRPr="00F9789E">
        <w:rPr>
          <w:sz w:val="22"/>
        </w:rPr>
        <w:t>2</w:t>
      </w:r>
      <w:r w:rsidRPr="00F9789E">
        <w:rPr>
          <w:sz w:val="22"/>
        </w:rPr>
        <w:t>.0</w:t>
      </w:r>
    </w:p>
    <w:p w14:paraId="69174D67" w14:textId="62D2EB37" w:rsidR="00740922" w:rsidRPr="00F9789E" w:rsidRDefault="00740922" w:rsidP="00093E9B">
      <w:pPr>
        <w:pStyle w:val="Referencelist"/>
        <w:rPr>
          <w:sz w:val="22"/>
        </w:rPr>
      </w:pPr>
      <w:r w:rsidRPr="00F9789E">
        <w:rPr>
          <w:sz w:val="22"/>
        </w:rPr>
        <w:t>TfNSW, 2</w:t>
      </w:r>
      <w:r w:rsidR="00FB7EE1" w:rsidRPr="00F9789E">
        <w:rPr>
          <w:sz w:val="22"/>
        </w:rPr>
        <w:t>2</w:t>
      </w:r>
      <w:r w:rsidRPr="00F9789E">
        <w:rPr>
          <w:sz w:val="22"/>
        </w:rPr>
        <w:t xml:space="preserve"> </w:t>
      </w:r>
      <w:r w:rsidR="00FB7EE1" w:rsidRPr="00F9789E">
        <w:rPr>
          <w:sz w:val="22"/>
        </w:rPr>
        <w:t>May</w:t>
      </w:r>
      <w:r w:rsidRPr="00F9789E">
        <w:rPr>
          <w:sz w:val="22"/>
        </w:rPr>
        <w:t xml:space="preserve"> 202</w:t>
      </w:r>
      <w:r w:rsidR="00FB7EE1" w:rsidRPr="00F9789E">
        <w:rPr>
          <w:sz w:val="22"/>
        </w:rPr>
        <w:t>4</w:t>
      </w:r>
      <w:r w:rsidRPr="00F9789E">
        <w:rPr>
          <w:sz w:val="22"/>
        </w:rPr>
        <w:t>, TS 00003.1</w:t>
      </w:r>
      <w:r w:rsidR="00FB7EE1" w:rsidRPr="00F9789E">
        <w:rPr>
          <w:sz w:val="22"/>
        </w:rPr>
        <w:t>:3.0</w:t>
      </w:r>
      <w:r w:rsidRPr="00F9789E">
        <w:rPr>
          <w:sz w:val="22"/>
        </w:rPr>
        <w:t xml:space="preserve"> </w:t>
      </w:r>
      <w:r w:rsidRPr="00F9789E">
        <w:rPr>
          <w:i/>
          <w:iCs/>
          <w:sz w:val="22"/>
        </w:rPr>
        <w:t>Concessions to Transport Standards Part 1 – Concession Process</w:t>
      </w:r>
      <w:r w:rsidRPr="00F9789E">
        <w:rPr>
          <w:sz w:val="22"/>
        </w:rPr>
        <w:t xml:space="preserve"> V</w:t>
      </w:r>
      <w:r w:rsidR="00FB7EE1" w:rsidRPr="00F9789E">
        <w:rPr>
          <w:sz w:val="22"/>
        </w:rPr>
        <w:t>3</w:t>
      </w:r>
      <w:r w:rsidRPr="00F9789E">
        <w:rPr>
          <w:sz w:val="22"/>
        </w:rPr>
        <w:t>.0</w:t>
      </w:r>
    </w:p>
    <w:p w14:paraId="0C110AAC" w14:textId="32161D54" w:rsidR="00F9789E" w:rsidRPr="00F9789E" w:rsidRDefault="00F9789E" w:rsidP="00093E9B">
      <w:pPr>
        <w:pStyle w:val="Referencelist"/>
        <w:rPr>
          <w:sz w:val="22"/>
        </w:rPr>
      </w:pPr>
      <w:r w:rsidRPr="00F9789E">
        <w:rPr>
          <w:sz w:val="22"/>
        </w:rPr>
        <w:t>TfNSW, April 2022 2</w:t>
      </w:r>
      <w:r w:rsidRPr="00F9789E">
        <w:rPr>
          <w:sz w:val="22"/>
          <w:vertAlign w:val="superscript"/>
        </w:rPr>
        <w:t>nd</w:t>
      </w:r>
      <w:r w:rsidRPr="00F9789E">
        <w:rPr>
          <w:sz w:val="22"/>
        </w:rPr>
        <w:t xml:space="preserve"> Edition, </w:t>
      </w:r>
      <w:r w:rsidRPr="00F9789E">
        <w:rPr>
          <w:i/>
          <w:iCs/>
          <w:sz w:val="22"/>
        </w:rPr>
        <w:t>Value Creation Framework</w:t>
      </w:r>
      <w:r w:rsidRPr="00F9789E">
        <w:rPr>
          <w:sz w:val="22"/>
        </w:rPr>
        <w:t xml:space="preserve"> </w:t>
      </w:r>
    </w:p>
    <w:p w14:paraId="215BECD3" w14:textId="77777777" w:rsidR="006D14EF" w:rsidRDefault="006D14EF" w:rsidP="00D9289D"/>
    <w:tbl>
      <w:tblPr>
        <w:tblStyle w:val="TableGrid"/>
        <w:tblW w:w="0" w:type="auto"/>
        <w:tblLook w:val="04A0" w:firstRow="1" w:lastRow="0" w:firstColumn="1" w:lastColumn="0" w:noHBand="0" w:noVBand="1"/>
      </w:tblPr>
      <w:tblGrid>
        <w:gridCol w:w="9016"/>
      </w:tblGrid>
      <w:tr w:rsidR="00D9289D" w14:paraId="29AF55D2" w14:textId="77777777" w:rsidTr="09636D91">
        <w:tc>
          <w:tcPr>
            <w:tcW w:w="9016" w:type="dxa"/>
          </w:tcPr>
          <w:p w14:paraId="490769DA" w14:textId="77777777" w:rsidR="00D9289D" w:rsidRDefault="00D9289D" w:rsidP="00D9289D">
            <w:pPr>
              <w:rPr>
                <w:b/>
                <w:bCs/>
              </w:rPr>
            </w:pPr>
            <w:r w:rsidRPr="00D9289D">
              <w:rPr>
                <w:b/>
                <w:bCs/>
              </w:rPr>
              <w:t>Acknowledgments</w:t>
            </w:r>
          </w:p>
          <w:p w14:paraId="6404DD6C" w14:textId="70ED33EE" w:rsidR="002952B8" w:rsidRPr="00D9289D" w:rsidRDefault="0069674B" w:rsidP="00D9289D">
            <w:pPr>
              <w:rPr>
                <w:lang w:eastAsia="en-AU"/>
              </w:rPr>
            </w:pPr>
            <w:r w:rsidRPr="0069674B">
              <w:rPr>
                <w:lang w:eastAsia="en-AU"/>
              </w:rPr>
              <w:t>The author would like to thank the</w:t>
            </w:r>
            <w:r w:rsidR="007C28A1">
              <w:rPr>
                <w:lang w:eastAsia="en-AU"/>
              </w:rPr>
              <w:t xml:space="preserve"> Director </w:t>
            </w:r>
            <w:r w:rsidR="006B700F">
              <w:rPr>
                <w:lang w:eastAsia="en-AU"/>
              </w:rPr>
              <w:t>of Engineering</w:t>
            </w:r>
            <w:r w:rsidR="008B1E08">
              <w:rPr>
                <w:lang w:eastAsia="en-AU"/>
              </w:rPr>
              <w:t xml:space="preserve"> and Director of Civil Engineering Infrastructure</w:t>
            </w:r>
            <w:r w:rsidRPr="0069674B">
              <w:rPr>
                <w:lang w:eastAsia="en-AU"/>
              </w:rPr>
              <w:t xml:space="preserve">, </w:t>
            </w:r>
            <w:r w:rsidR="006B700F">
              <w:rPr>
                <w:lang w:eastAsia="en-AU"/>
              </w:rPr>
              <w:t xml:space="preserve">Asset Management </w:t>
            </w:r>
            <w:r w:rsidR="00B8685C">
              <w:rPr>
                <w:lang w:eastAsia="en-AU"/>
              </w:rPr>
              <w:t>Branch</w:t>
            </w:r>
            <w:r w:rsidRPr="0069674B">
              <w:rPr>
                <w:lang w:eastAsia="en-AU"/>
              </w:rPr>
              <w:t xml:space="preserve">, for granting permission to publish this paper. The author also wishes to thank his line manager </w:t>
            </w:r>
            <w:r w:rsidR="00B8685C">
              <w:rPr>
                <w:lang w:eastAsia="en-AU"/>
              </w:rPr>
              <w:t>Yew Chuan Chong</w:t>
            </w:r>
            <w:r w:rsidRPr="0069674B">
              <w:rPr>
                <w:lang w:eastAsia="en-AU"/>
              </w:rPr>
              <w:t xml:space="preserve"> for his encouragement and support in all the </w:t>
            </w:r>
            <w:r w:rsidR="0087037F">
              <w:rPr>
                <w:lang w:eastAsia="en-AU"/>
              </w:rPr>
              <w:t>standards</w:t>
            </w:r>
            <w:r w:rsidR="00810BEC">
              <w:rPr>
                <w:lang w:eastAsia="en-AU"/>
              </w:rPr>
              <w:t xml:space="preserve"> development contributions</w:t>
            </w:r>
            <w:r w:rsidRPr="0069674B">
              <w:rPr>
                <w:lang w:eastAsia="en-AU"/>
              </w:rPr>
              <w:t xml:space="preserve"> he has carried out under his supervision</w:t>
            </w:r>
            <w:r w:rsidR="00E800D8">
              <w:rPr>
                <w:lang w:eastAsia="en-AU"/>
              </w:rPr>
              <w:t xml:space="preserve"> including a team member support from Malcolm Peak</w:t>
            </w:r>
            <w:r w:rsidRPr="0069674B">
              <w:rPr>
                <w:lang w:eastAsia="en-AU"/>
              </w:rPr>
              <w:t xml:space="preserve">. The author also wishes to express his gratitude to </w:t>
            </w:r>
            <w:r w:rsidR="00DA5692">
              <w:rPr>
                <w:lang w:eastAsia="en-AU"/>
              </w:rPr>
              <w:t>the contribution</w:t>
            </w:r>
            <w:r w:rsidR="00725CC7">
              <w:rPr>
                <w:lang w:eastAsia="en-AU"/>
              </w:rPr>
              <w:t xml:space="preserve">s of </w:t>
            </w:r>
            <w:r w:rsidR="00727FC9">
              <w:rPr>
                <w:lang w:eastAsia="en-AU"/>
              </w:rPr>
              <w:t xml:space="preserve">Bridges and Structures SME from </w:t>
            </w:r>
            <w:r w:rsidR="006D78E2" w:rsidRPr="006D78E2">
              <w:rPr>
                <w:lang w:eastAsia="en-AU"/>
              </w:rPr>
              <w:t>Infrastructure Projects and Engineering</w:t>
            </w:r>
            <w:r w:rsidR="008C4F97">
              <w:rPr>
                <w:lang w:eastAsia="en-AU"/>
              </w:rPr>
              <w:t xml:space="preserve"> </w:t>
            </w:r>
            <w:r w:rsidR="004C7ED7">
              <w:rPr>
                <w:lang w:eastAsia="en-AU"/>
              </w:rPr>
              <w:t xml:space="preserve">Division within Transport for NSW </w:t>
            </w:r>
            <w:r w:rsidR="008C4F97">
              <w:rPr>
                <w:lang w:eastAsia="en-AU"/>
              </w:rPr>
              <w:t>special mention to Orla Sherwin, Trung Doan and Titus Khor</w:t>
            </w:r>
            <w:r w:rsidR="00E800D8">
              <w:rPr>
                <w:lang w:eastAsia="en-AU"/>
              </w:rPr>
              <w:t>.</w:t>
            </w:r>
            <w:r w:rsidR="003652CC">
              <w:rPr>
                <w:lang w:eastAsia="en-AU"/>
              </w:rPr>
              <w:t xml:space="preserve"> </w:t>
            </w:r>
            <w:r w:rsidR="0072008A">
              <w:rPr>
                <w:lang w:eastAsia="en-AU"/>
              </w:rPr>
              <w:t xml:space="preserve">It is greatly appreciated </w:t>
            </w:r>
            <w:r w:rsidR="003B68DF">
              <w:rPr>
                <w:lang w:eastAsia="en-AU"/>
              </w:rPr>
              <w:t xml:space="preserve">the continuous collaboration </w:t>
            </w:r>
            <w:r w:rsidR="00ED299F">
              <w:rPr>
                <w:lang w:eastAsia="en-AU"/>
              </w:rPr>
              <w:t xml:space="preserve">with </w:t>
            </w:r>
            <w:r w:rsidR="00667D50" w:rsidRPr="00667D50">
              <w:rPr>
                <w:lang w:eastAsia="en-AU"/>
              </w:rPr>
              <w:t>Aurecon</w:t>
            </w:r>
            <w:r w:rsidR="00BE2030">
              <w:rPr>
                <w:lang w:eastAsia="en-AU"/>
              </w:rPr>
              <w:t xml:space="preserve"> </w:t>
            </w:r>
            <w:r w:rsidR="000917D0">
              <w:rPr>
                <w:lang w:eastAsia="en-AU"/>
              </w:rPr>
              <w:t xml:space="preserve">for the development </w:t>
            </w:r>
            <w:r w:rsidR="009A3A3B">
              <w:rPr>
                <w:lang w:eastAsia="en-AU"/>
              </w:rPr>
              <w:t>of</w:t>
            </w:r>
            <w:r w:rsidR="00B3140B">
              <w:rPr>
                <w:lang w:eastAsia="en-AU"/>
              </w:rPr>
              <w:t xml:space="preserve"> the </w:t>
            </w:r>
            <w:r w:rsidR="00B6277D">
              <w:rPr>
                <w:lang w:eastAsia="en-AU"/>
              </w:rPr>
              <w:t xml:space="preserve">Bridges </w:t>
            </w:r>
            <w:r w:rsidR="00BE0369">
              <w:rPr>
                <w:lang w:eastAsia="en-AU"/>
              </w:rPr>
              <w:t>and Structures Standard</w:t>
            </w:r>
            <w:r w:rsidR="00C34509">
              <w:rPr>
                <w:lang w:eastAsia="en-AU"/>
              </w:rPr>
              <w:t xml:space="preserve">, </w:t>
            </w:r>
            <w:r w:rsidR="00667D50">
              <w:rPr>
                <w:lang w:eastAsia="en-AU"/>
              </w:rPr>
              <w:t>led</w:t>
            </w:r>
            <w:r w:rsidR="00C45F69">
              <w:rPr>
                <w:lang w:eastAsia="en-AU"/>
              </w:rPr>
              <w:t xml:space="preserve"> by Brian Kille</w:t>
            </w:r>
            <w:r w:rsidR="005F4168">
              <w:rPr>
                <w:lang w:eastAsia="en-AU"/>
              </w:rPr>
              <w:t xml:space="preserve">en and John Hilton. </w:t>
            </w:r>
          </w:p>
        </w:tc>
      </w:tr>
    </w:tbl>
    <w:p w14:paraId="79E842DB" w14:textId="77777777" w:rsidR="00472388" w:rsidRDefault="00472388" w:rsidP="003651E2">
      <w:pPr>
        <w:rPr>
          <w:b/>
          <w:bCs/>
        </w:rPr>
      </w:pPr>
    </w:p>
    <w:p w14:paraId="2501B354" w14:textId="1BD29D46" w:rsidR="00246595" w:rsidRDefault="009B723C" w:rsidP="003651E2">
      <w:pPr>
        <w:rPr>
          <w:b/>
          <w:bCs/>
        </w:rPr>
      </w:pPr>
      <w:r w:rsidRPr="009B723C">
        <w:rPr>
          <w:b/>
          <w:bCs/>
        </w:rPr>
        <w:t>Author contacts</w:t>
      </w:r>
      <w:r w:rsidR="00740922">
        <w:rPr>
          <w:b/>
          <w:bCs/>
        </w:rPr>
        <w:t>:</w:t>
      </w:r>
    </w:p>
    <w:p w14:paraId="472DC3AC" w14:textId="77777777" w:rsidR="003E7CA2" w:rsidRDefault="00740922" w:rsidP="003651E2">
      <w:pPr>
        <w:rPr>
          <w:b/>
          <w:bCs/>
        </w:rPr>
      </w:pPr>
      <w:bookmarkStart w:id="4" w:name="_Hlk188221076"/>
      <w:r>
        <w:rPr>
          <w:b/>
          <w:bCs/>
        </w:rPr>
        <w:t>Celestino</w:t>
      </w:r>
      <w:r w:rsidR="009B723C">
        <w:rPr>
          <w:b/>
          <w:bCs/>
        </w:rPr>
        <w:t xml:space="preserve"> </w:t>
      </w:r>
      <w:r>
        <w:rPr>
          <w:b/>
          <w:bCs/>
        </w:rPr>
        <w:t>Valdez</w:t>
      </w:r>
      <w:r w:rsidR="009B723C">
        <w:rPr>
          <w:b/>
          <w:bCs/>
        </w:rPr>
        <w:t xml:space="preserve">, </w:t>
      </w:r>
      <w:r>
        <w:rPr>
          <w:b/>
          <w:bCs/>
        </w:rPr>
        <w:t>Transport for NSW</w:t>
      </w:r>
      <w:r w:rsidR="009B723C">
        <w:rPr>
          <w:b/>
          <w:bCs/>
        </w:rPr>
        <w:t xml:space="preserve">, </w:t>
      </w:r>
      <w:r w:rsidR="003E7CA2" w:rsidRPr="003E7CA2">
        <w:rPr>
          <w:b/>
          <w:bCs/>
        </w:rPr>
        <w:t xml:space="preserve">Senior Engineer Structures </w:t>
      </w:r>
    </w:p>
    <w:bookmarkEnd w:id="4"/>
    <w:p w14:paraId="11C605AA" w14:textId="2EDA79E6" w:rsidR="009B723C" w:rsidRDefault="003E7CA2" w:rsidP="003651E2">
      <w:r>
        <w:t>e</w:t>
      </w:r>
      <w:r w:rsidR="009B723C" w:rsidRPr="009B723C">
        <w:t>mail</w:t>
      </w:r>
      <w:r>
        <w:t>:</w:t>
      </w:r>
      <w:r w:rsidRPr="003E7CA2">
        <w:t xml:space="preserve"> celestino.valdez@transport.nsw.gov.au</w:t>
      </w:r>
      <w:r>
        <w:t xml:space="preserve"> </w:t>
      </w:r>
    </w:p>
    <w:p w14:paraId="4050F0D6" w14:textId="04D83C3B" w:rsidR="003E7CA2" w:rsidRDefault="00135BE3" w:rsidP="009B723C">
      <w:pPr>
        <w:rPr>
          <w:b/>
          <w:bCs/>
        </w:rPr>
      </w:pPr>
      <w:r>
        <w:rPr>
          <w:b/>
          <w:bCs/>
        </w:rPr>
        <w:t>Malcolm Peake</w:t>
      </w:r>
      <w:r w:rsidR="003E7CA2" w:rsidRPr="003E7CA2">
        <w:rPr>
          <w:b/>
          <w:bCs/>
        </w:rPr>
        <w:t xml:space="preserve">, Transport for NSW, Senior Engineer Structures </w:t>
      </w:r>
    </w:p>
    <w:p w14:paraId="028E03D4" w14:textId="7B5F8F18" w:rsidR="009B723C" w:rsidRPr="009B723C" w:rsidRDefault="003E7CA2" w:rsidP="009B723C">
      <w:r>
        <w:t>e</w:t>
      </w:r>
      <w:r w:rsidR="009B723C" w:rsidRPr="009B723C">
        <w:t>mail</w:t>
      </w:r>
      <w:r>
        <w:t>:</w:t>
      </w:r>
      <w:r w:rsidR="009B723C" w:rsidRPr="009B723C">
        <w:t xml:space="preserve"> </w:t>
      </w:r>
      <w:r w:rsidRPr="003E7CA2">
        <w:t>malcolm.peake@transport.nsw.gov.au</w:t>
      </w:r>
    </w:p>
    <w:p w14:paraId="22700065" w14:textId="09A01661" w:rsidR="003E7CA2" w:rsidRDefault="003E7CA2" w:rsidP="009B723C">
      <w:pPr>
        <w:rPr>
          <w:b/>
          <w:bCs/>
        </w:rPr>
      </w:pPr>
      <w:r w:rsidRPr="003E7CA2">
        <w:rPr>
          <w:b/>
          <w:bCs/>
        </w:rPr>
        <w:t>Yew chuan Chong,</w:t>
      </w:r>
      <w:r>
        <w:rPr>
          <w:b/>
          <w:bCs/>
        </w:rPr>
        <w:t xml:space="preserve"> </w:t>
      </w:r>
      <w:r w:rsidRPr="003E7CA2">
        <w:rPr>
          <w:b/>
          <w:bCs/>
        </w:rPr>
        <w:t>Transport for NSW</w:t>
      </w:r>
      <w:r>
        <w:rPr>
          <w:b/>
          <w:bCs/>
        </w:rPr>
        <w:t>,</w:t>
      </w:r>
      <w:r w:rsidRPr="003E7CA2">
        <w:rPr>
          <w:b/>
          <w:bCs/>
        </w:rPr>
        <w:t xml:space="preserve"> Principal Engineer Structures &amp; Bridges</w:t>
      </w:r>
    </w:p>
    <w:p w14:paraId="2A502C24" w14:textId="0147C4B9" w:rsidR="009B723C" w:rsidRPr="009B723C" w:rsidRDefault="003E7CA2" w:rsidP="009B723C">
      <w:r>
        <w:t>e</w:t>
      </w:r>
      <w:r w:rsidR="009B723C" w:rsidRPr="009B723C">
        <w:t>mail</w:t>
      </w:r>
      <w:r>
        <w:t>:</w:t>
      </w:r>
      <w:r w:rsidR="00135BE3" w:rsidRPr="00135BE3">
        <w:t xml:space="preserve"> yew.chong@transport.nsw.gov.au</w:t>
      </w:r>
    </w:p>
    <w:p w14:paraId="60BA209E" w14:textId="77777777" w:rsidR="009B723C" w:rsidRPr="009B723C" w:rsidRDefault="009B723C" w:rsidP="003651E2"/>
    <w:sectPr w:rsidR="009B723C" w:rsidRPr="009B723C"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5963" w14:textId="77777777" w:rsidR="003314F6" w:rsidRDefault="003314F6" w:rsidP="00763BD0">
      <w:r>
        <w:separator/>
      </w:r>
    </w:p>
  </w:endnote>
  <w:endnote w:type="continuationSeparator" w:id="0">
    <w:p w14:paraId="1436CF72" w14:textId="77777777" w:rsidR="003314F6" w:rsidRDefault="003314F6" w:rsidP="00763BD0">
      <w:r>
        <w:continuationSeparator/>
      </w:r>
    </w:p>
  </w:endnote>
  <w:endnote w:type="continuationNotice" w:id="1">
    <w:p w14:paraId="2B4C404F" w14:textId="77777777" w:rsidR="00BF1233" w:rsidRDefault="00BF12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NSW)">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5925" w14:textId="5D1417F9" w:rsidR="003314F6" w:rsidRDefault="003314F6">
    <w:pPr>
      <w:pStyle w:val="Footer"/>
    </w:pPr>
    <w:r>
      <w:rPr>
        <w:noProof/>
      </w:rPr>
      <mc:AlternateContent>
        <mc:Choice Requires="wps">
          <w:drawing>
            <wp:anchor distT="0" distB="0" distL="0" distR="0" simplePos="0" relativeHeight="251658241" behindDoc="0" locked="0" layoutInCell="1" allowOverlap="1" wp14:anchorId="66E8915C" wp14:editId="78F73BDE">
              <wp:simplePos x="635" y="635"/>
              <wp:positionH relativeFrom="page">
                <wp:align>center</wp:align>
              </wp:positionH>
              <wp:positionV relativeFrom="page">
                <wp:align>bottom</wp:align>
              </wp:positionV>
              <wp:extent cx="443865" cy="443865"/>
              <wp:effectExtent l="0" t="0" r="16510" b="0"/>
              <wp:wrapNone/>
              <wp:docPr id="192611744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DA6BD" w14:textId="4C723F28"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891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17DA6BD" w14:textId="4C723F28"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B86" w14:textId="5FEB767E" w:rsidR="00440A1F" w:rsidRDefault="003314F6" w:rsidP="00EA150C">
    <w:pPr>
      <w:pStyle w:val="Footer"/>
      <w:pBdr>
        <w:top w:val="dotted" w:sz="4" w:space="4" w:color="auto"/>
      </w:pBdr>
    </w:pPr>
    <w:r>
      <w:rPr>
        <w:noProof/>
      </w:rPr>
      <mc:AlternateContent>
        <mc:Choice Requires="wps">
          <w:drawing>
            <wp:anchor distT="0" distB="0" distL="0" distR="0" simplePos="0" relativeHeight="251658242" behindDoc="0" locked="0" layoutInCell="1" allowOverlap="1" wp14:anchorId="672D9989" wp14:editId="50F88009">
              <wp:simplePos x="915035" y="9957435"/>
              <wp:positionH relativeFrom="page">
                <wp:align>center</wp:align>
              </wp:positionH>
              <wp:positionV relativeFrom="page">
                <wp:align>bottom</wp:align>
              </wp:positionV>
              <wp:extent cx="443865" cy="443865"/>
              <wp:effectExtent l="0" t="0" r="16510" b="0"/>
              <wp:wrapNone/>
              <wp:docPr id="14488468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E9376" w14:textId="68DC0B81"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D998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2E9376" w14:textId="68DC0B81"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v:textbox>
              <w10:wrap anchorx="page" anchory="page"/>
            </v:shape>
          </w:pict>
        </mc:Fallback>
      </mc:AlternateContent>
    </w:r>
    <w:r w:rsidR="00966209" w:rsidRPr="00966209">
      <w:t>Austroads Bridge Conference 202</w:t>
    </w:r>
    <w:r w:rsidR="00D51C08">
      <w:t>5</w:t>
    </w:r>
    <w:r w:rsidR="00966209" w:rsidRPr="00966209">
      <w:t xml:space="preserve"> | Peer reviewed paper </w:t>
    </w:r>
    <w:r w:rsidR="00966209"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4E87" w14:textId="46D1F510" w:rsidR="003314F6" w:rsidRDefault="003314F6">
    <w:pPr>
      <w:pStyle w:val="Footer"/>
    </w:pPr>
    <w:r>
      <w:rPr>
        <w:noProof/>
      </w:rPr>
      <mc:AlternateContent>
        <mc:Choice Requires="wps">
          <w:drawing>
            <wp:anchor distT="0" distB="0" distL="0" distR="0" simplePos="0" relativeHeight="251658240" behindDoc="0" locked="0" layoutInCell="1" allowOverlap="1" wp14:anchorId="7FB34AD7" wp14:editId="2BB068C4">
              <wp:simplePos x="914400" y="10010775"/>
              <wp:positionH relativeFrom="page">
                <wp:align>center</wp:align>
              </wp:positionH>
              <wp:positionV relativeFrom="page">
                <wp:align>bottom</wp:align>
              </wp:positionV>
              <wp:extent cx="443865" cy="443865"/>
              <wp:effectExtent l="0" t="0" r="16510" b="0"/>
              <wp:wrapNone/>
              <wp:docPr id="12230634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5522E" w14:textId="730E8600"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34AD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65522E" w14:textId="730E8600" w:rsidR="003314F6" w:rsidRPr="003314F6" w:rsidRDefault="003314F6" w:rsidP="003314F6">
                    <w:pPr>
                      <w:spacing w:after="0"/>
                      <w:rPr>
                        <w:rFonts w:ascii="Calibri" w:eastAsia="Calibri" w:hAnsi="Calibri" w:cs="Calibri"/>
                        <w:noProof/>
                        <w:color w:val="000000"/>
                        <w:szCs w:val="20"/>
                      </w:rPr>
                    </w:pPr>
                    <w:r w:rsidRPr="003314F6">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46BB" w14:textId="77777777" w:rsidR="003314F6" w:rsidRDefault="003314F6" w:rsidP="00763BD0">
      <w:r>
        <w:separator/>
      </w:r>
    </w:p>
  </w:footnote>
  <w:footnote w:type="continuationSeparator" w:id="0">
    <w:p w14:paraId="06A747E1" w14:textId="77777777" w:rsidR="003314F6" w:rsidRDefault="003314F6" w:rsidP="00763BD0">
      <w:r>
        <w:continuationSeparator/>
      </w:r>
    </w:p>
  </w:footnote>
  <w:footnote w:type="continuationNotice" w:id="1">
    <w:p w14:paraId="11D79F2C" w14:textId="77777777" w:rsidR="00BF1233" w:rsidRDefault="00BF12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14:paraId="6EB4B9D3" w14:textId="0F5E05D6" w:rsidR="00DF646F" w:rsidRPr="009B00FA" w:rsidRDefault="00DB5A28" w:rsidP="00F10BE8">
        <w:pPr>
          <w:pStyle w:val="Header"/>
          <w:pBdr>
            <w:bottom w:val="dotted" w:sz="4" w:space="4" w:color="auto"/>
          </w:pBdr>
          <w:rPr>
            <w:rStyle w:val="HeaderChar"/>
            <w:b/>
            <w:bCs/>
            <w:sz w:val="16"/>
            <w:szCs w:val="56"/>
          </w:rPr>
        </w:pPr>
        <w:r>
          <w:rPr>
            <w:rStyle w:val="HeaderChar"/>
            <w:b/>
            <w:bCs/>
            <w:sz w:val="16"/>
            <w:szCs w:val="56"/>
          </w:rPr>
          <w:t>Outlook of TfNSW Bridges &amp; Structures Standard</w:t>
        </w:r>
      </w:p>
    </w:sdtContent>
  </w:sdt>
  <w:p w14:paraId="2649B523"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0ADBD0ED" w14:textId="77777777" w:rsidTr="00D51C08">
      <w:trPr>
        <w:trHeight w:val="1843"/>
      </w:trPr>
      <w:tc>
        <w:tcPr>
          <w:tcW w:w="4395" w:type="dxa"/>
          <w:vAlign w:val="bottom"/>
        </w:tcPr>
        <w:p w14:paraId="6D6AC467"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33FD9A7B" w14:textId="77777777" w:rsidR="00966209" w:rsidRDefault="00D51C08" w:rsidP="00D51C08">
          <w:pPr>
            <w:pStyle w:val="Header"/>
            <w:spacing w:line="240" w:lineRule="auto"/>
            <w:jc w:val="right"/>
          </w:pPr>
          <w:r>
            <w:rPr>
              <w:noProof/>
            </w:rPr>
            <w:drawing>
              <wp:inline distT="0" distB="0" distL="0" distR="0" wp14:anchorId="2AA6E2D6" wp14:editId="5F5901FC">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231C2C4A" w14:textId="77777777" w:rsidR="00AD6E52" w:rsidRDefault="00AD6E52" w:rsidP="00D51C08">
          <w:pPr>
            <w:pStyle w:val="Header"/>
            <w:jc w:val="right"/>
          </w:pPr>
        </w:p>
      </w:tc>
    </w:tr>
  </w:tbl>
  <w:p w14:paraId="2DEAD6DC"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5994"/>
    <w:multiLevelType w:val="multilevel"/>
    <w:tmpl w:val="80DE26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8228F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B16FDA"/>
    <w:multiLevelType w:val="hybridMultilevel"/>
    <w:tmpl w:val="7942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A91784"/>
    <w:multiLevelType w:val="hybridMultilevel"/>
    <w:tmpl w:val="3A3C62E8"/>
    <w:lvl w:ilvl="0" w:tplc="F5EC250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459EF"/>
    <w:multiLevelType w:val="multilevel"/>
    <w:tmpl w:val="80DE26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8544AB"/>
    <w:multiLevelType w:val="multilevel"/>
    <w:tmpl w:val="DD50CB64"/>
    <w:numStyleLink w:val="Style1"/>
  </w:abstractNum>
  <w:abstractNum w:abstractNumId="6"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7"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6B4060E"/>
    <w:multiLevelType w:val="hybridMultilevel"/>
    <w:tmpl w:val="10D4EBA4"/>
    <w:lvl w:ilvl="0" w:tplc="1C4E410A">
      <w:start w:val="1"/>
      <w:numFmt w:val="bullet"/>
      <w:lvlText w:val="o"/>
      <w:lvlJc w:val="left"/>
      <w:pPr>
        <w:ind w:left="1080" w:hanging="72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11"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E3719"/>
    <w:multiLevelType w:val="hybridMultilevel"/>
    <w:tmpl w:val="05C0DBF6"/>
    <w:lvl w:ilvl="0" w:tplc="2ABE454E">
      <w:start w:val="1"/>
      <w:numFmt w:val="decimal"/>
      <w:pStyle w:val="Referencelist"/>
      <w:lvlText w:val="%1."/>
      <w:lvlJc w:val="left"/>
      <w:pPr>
        <w:ind w:left="360" w:hanging="360"/>
      </w:pPr>
      <w:rPr>
        <w:rFonts w:hint="default"/>
        <w:b w:val="0"/>
        <w:bCs w:val="0"/>
        <w:i w:val="0"/>
        <w:iCs w:val="0"/>
        <w:spacing w:val="-2"/>
        <w:w w:val="102"/>
        <w:sz w:val="22"/>
        <w:szCs w:val="22"/>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3" w15:restartNumberingAfterBreak="0">
    <w:nsid w:val="7FD25F11"/>
    <w:multiLevelType w:val="hybridMultilevel"/>
    <w:tmpl w:val="9942DFAA"/>
    <w:lvl w:ilvl="0" w:tplc="EFEA6CA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13"/>
  </w:num>
  <w:num w:numId="2" w16cid:durableId="902712495">
    <w:abstractNumId w:val="10"/>
  </w:num>
  <w:num w:numId="3" w16cid:durableId="1629706114">
    <w:abstractNumId w:val="7"/>
  </w:num>
  <w:num w:numId="4" w16cid:durableId="1970545516">
    <w:abstractNumId w:val="11"/>
  </w:num>
  <w:num w:numId="5" w16cid:durableId="661659167">
    <w:abstractNumId w:val="6"/>
  </w:num>
  <w:num w:numId="6" w16cid:durableId="1376732043">
    <w:abstractNumId w:val="12"/>
  </w:num>
  <w:num w:numId="7" w16cid:durableId="1183936503">
    <w:abstractNumId w:val="8"/>
  </w:num>
  <w:num w:numId="8" w16cid:durableId="712118483">
    <w:abstractNumId w:val="5"/>
  </w:num>
  <w:num w:numId="9" w16cid:durableId="500629794">
    <w:abstractNumId w:val="2"/>
  </w:num>
  <w:num w:numId="10" w16cid:durableId="1031689211">
    <w:abstractNumId w:val="3"/>
  </w:num>
  <w:num w:numId="11" w16cid:durableId="812989118">
    <w:abstractNumId w:val="11"/>
  </w:num>
  <w:num w:numId="12" w16cid:durableId="1772166058">
    <w:abstractNumId w:val="11"/>
  </w:num>
  <w:num w:numId="13" w16cid:durableId="1521161720">
    <w:abstractNumId w:val="11"/>
  </w:num>
  <w:num w:numId="14" w16cid:durableId="1492066258">
    <w:abstractNumId w:val="11"/>
  </w:num>
  <w:num w:numId="15" w16cid:durableId="1771317837">
    <w:abstractNumId w:val="9"/>
  </w:num>
  <w:num w:numId="16" w16cid:durableId="1770539460">
    <w:abstractNumId w:val="0"/>
  </w:num>
  <w:num w:numId="17" w16cid:durableId="1793744875">
    <w:abstractNumId w:val="4"/>
  </w:num>
  <w:num w:numId="18" w16cid:durableId="576476156">
    <w:abstractNumId w:val="1"/>
  </w:num>
  <w:num w:numId="19" w16cid:durableId="714038456">
    <w:abstractNumId w:val="1"/>
  </w:num>
  <w:num w:numId="20" w16cid:durableId="386952229">
    <w:abstractNumId w:val="11"/>
  </w:num>
  <w:num w:numId="21" w16cid:durableId="132722808">
    <w:abstractNumId w:val="11"/>
  </w:num>
  <w:num w:numId="22" w16cid:durableId="363945281">
    <w:abstractNumId w:val="11"/>
  </w:num>
  <w:num w:numId="23" w16cid:durableId="204365783">
    <w:abstractNumId w:val="1"/>
  </w:num>
  <w:num w:numId="24" w16cid:durableId="926115528">
    <w:abstractNumId w:val="1"/>
  </w:num>
  <w:num w:numId="25" w16cid:durableId="1600913945">
    <w:abstractNumId w:val="11"/>
  </w:num>
  <w:num w:numId="26" w16cid:durableId="1559900070">
    <w:abstractNumId w:val="11"/>
  </w:num>
  <w:num w:numId="27" w16cid:durableId="1760757760">
    <w:abstractNumId w:val="1"/>
  </w:num>
  <w:num w:numId="28" w16cid:durableId="997731250">
    <w:abstractNumId w:val="11"/>
  </w:num>
  <w:num w:numId="29" w16cid:durableId="11494956">
    <w:abstractNumId w:val="11"/>
  </w:num>
  <w:num w:numId="30" w16cid:durableId="1969310716">
    <w:abstractNumId w:val="1"/>
  </w:num>
  <w:num w:numId="31" w16cid:durableId="1307126560">
    <w:abstractNumId w:val="11"/>
  </w:num>
  <w:num w:numId="32" w16cid:durableId="2146312113">
    <w:abstractNumId w:val="11"/>
  </w:num>
  <w:num w:numId="33" w16cid:durableId="1460604893">
    <w:abstractNumId w:val="11"/>
  </w:num>
  <w:num w:numId="34" w16cid:durableId="132138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F6"/>
    <w:rsid w:val="00004D82"/>
    <w:rsid w:val="00004EDB"/>
    <w:rsid w:val="00013788"/>
    <w:rsid w:val="0001795A"/>
    <w:rsid w:val="00023097"/>
    <w:rsid w:val="00035D60"/>
    <w:rsid w:val="000547BA"/>
    <w:rsid w:val="00057DA0"/>
    <w:rsid w:val="00063820"/>
    <w:rsid w:val="0009060A"/>
    <w:rsid w:val="000917D0"/>
    <w:rsid w:val="00093E9B"/>
    <w:rsid w:val="0009435E"/>
    <w:rsid w:val="0009670E"/>
    <w:rsid w:val="000A4D8E"/>
    <w:rsid w:val="000C2D7E"/>
    <w:rsid w:val="000D399F"/>
    <w:rsid w:val="000E3F9F"/>
    <w:rsid w:val="000F3ADC"/>
    <w:rsid w:val="000F5FD7"/>
    <w:rsid w:val="00103298"/>
    <w:rsid w:val="001273B8"/>
    <w:rsid w:val="00131E2B"/>
    <w:rsid w:val="0013222F"/>
    <w:rsid w:val="00135BE3"/>
    <w:rsid w:val="00145412"/>
    <w:rsid w:val="00145B01"/>
    <w:rsid w:val="0016247E"/>
    <w:rsid w:val="00163AE4"/>
    <w:rsid w:val="00170665"/>
    <w:rsid w:val="001934DD"/>
    <w:rsid w:val="001A35AE"/>
    <w:rsid w:val="001A57C3"/>
    <w:rsid w:val="001A7967"/>
    <w:rsid w:val="001B7479"/>
    <w:rsid w:val="001C0F8E"/>
    <w:rsid w:val="001C5EFD"/>
    <w:rsid w:val="001F4661"/>
    <w:rsid w:val="001F62D1"/>
    <w:rsid w:val="002078FA"/>
    <w:rsid w:val="00211B97"/>
    <w:rsid w:val="00213F42"/>
    <w:rsid w:val="00216927"/>
    <w:rsid w:val="00217D92"/>
    <w:rsid w:val="00226577"/>
    <w:rsid w:val="00231D88"/>
    <w:rsid w:val="002357FF"/>
    <w:rsid w:val="002359A1"/>
    <w:rsid w:val="0024335E"/>
    <w:rsid w:val="00246595"/>
    <w:rsid w:val="0024671E"/>
    <w:rsid w:val="00264FE4"/>
    <w:rsid w:val="00275473"/>
    <w:rsid w:val="002952B8"/>
    <w:rsid w:val="002A7D62"/>
    <w:rsid w:val="002B39BE"/>
    <w:rsid w:val="002D16E5"/>
    <w:rsid w:val="002E0910"/>
    <w:rsid w:val="002E1D22"/>
    <w:rsid w:val="002E7479"/>
    <w:rsid w:val="002F3BE8"/>
    <w:rsid w:val="002F5692"/>
    <w:rsid w:val="002F5B82"/>
    <w:rsid w:val="003048A9"/>
    <w:rsid w:val="00307963"/>
    <w:rsid w:val="00311DED"/>
    <w:rsid w:val="003200FC"/>
    <w:rsid w:val="003314F6"/>
    <w:rsid w:val="003322B9"/>
    <w:rsid w:val="003354E2"/>
    <w:rsid w:val="003503B5"/>
    <w:rsid w:val="00351D92"/>
    <w:rsid w:val="003651E2"/>
    <w:rsid w:val="003652CC"/>
    <w:rsid w:val="0037434E"/>
    <w:rsid w:val="003805C9"/>
    <w:rsid w:val="003A03FC"/>
    <w:rsid w:val="003A63DF"/>
    <w:rsid w:val="003B0D75"/>
    <w:rsid w:val="003B57D5"/>
    <w:rsid w:val="003B68DF"/>
    <w:rsid w:val="003C34BC"/>
    <w:rsid w:val="003C5B2C"/>
    <w:rsid w:val="003C64FA"/>
    <w:rsid w:val="003E1F3A"/>
    <w:rsid w:val="003E7CA2"/>
    <w:rsid w:val="003F35A5"/>
    <w:rsid w:val="00404D12"/>
    <w:rsid w:val="0040595E"/>
    <w:rsid w:val="00406B94"/>
    <w:rsid w:val="00412ED4"/>
    <w:rsid w:val="00414B9B"/>
    <w:rsid w:val="00420386"/>
    <w:rsid w:val="0043244E"/>
    <w:rsid w:val="00436BA3"/>
    <w:rsid w:val="00440A1F"/>
    <w:rsid w:val="00444691"/>
    <w:rsid w:val="00444B80"/>
    <w:rsid w:val="004517B1"/>
    <w:rsid w:val="00461943"/>
    <w:rsid w:val="00472388"/>
    <w:rsid w:val="0047619E"/>
    <w:rsid w:val="00480811"/>
    <w:rsid w:val="00485BBF"/>
    <w:rsid w:val="00486A95"/>
    <w:rsid w:val="00493898"/>
    <w:rsid w:val="004B1F19"/>
    <w:rsid w:val="004C2578"/>
    <w:rsid w:val="004C7ED7"/>
    <w:rsid w:val="004D3DDC"/>
    <w:rsid w:val="004E4EA2"/>
    <w:rsid w:val="004E7D2F"/>
    <w:rsid w:val="004F1696"/>
    <w:rsid w:val="004F774E"/>
    <w:rsid w:val="00504324"/>
    <w:rsid w:val="005057D1"/>
    <w:rsid w:val="00510D00"/>
    <w:rsid w:val="005160E9"/>
    <w:rsid w:val="005445E9"/>
    <w:rsid w:val="005471FA"/>
    <w:rsid w:val="00552429"/>
    <w:rsid w:val="00555710"/>
    <w:rsid w:val="00565DAC"/>
    <w:rsid w:val="005A0AF7"/>
    <w:rsid w:val="005A5572"/>
    <w:rsid w:val="005B4F9C"/>
    <w:rsid w:val="005C28EA"/>
    <w:rsid w:val="005C3473"/>
    <w:rsid w:val="005C5CC7"/>
    <w:rsid w:val="005D0CD5"/>
    <w:rsid w:val="005F4168"/>
    <w:rsid w:val="00614B48"/>
    <w:rsid w:val="00621395"/>
    <w:rsid w:val="00622951"/>
    <w:rsid w:val="00631D25"/>
    <w:rsid w:val="00641122"/>
    <w:rsid w:val="00652FA6"/>
    <w:rsid w:val="0065444D"/>
    <w:rsid w:val="00655739"/>
    <w:rsid w:val="00660AB1"/>
    <w:rsid w:val="00667D50"/>
    <w:rsid w:val="00674305"/>
    <w:rsid w:val="00674D4F"/>
    <w:rsid w:val="0067630D"/>
    <w:rsid w:val="0069577E"/>
    <w:rsid w:val="0069674B"/>
    <w:rsid w:val="006A197E"/>
    <w:rsid w:val="006A3739"/>
    <w:rsid w:val="006B0868"/>
    <w:rsid w:val="006B56A2"/>
    <w:rsid w:val="006B700F"/>
    <w:rsid w:val="006C4D21"/>
    <w:rsid w:val="006D14EF"/>
    <w:rsid w:val="006D78E2"/>
    <w:rsid w:val="00700978"/>
    <w:rsid w:val="0072008A"/>
    <w:rsid w:val="00723304"/>
    <w:rsid w:val="00723D37"/>
    <w:rsid w:val="00725CC7"/>
    <w:rsid w:val="00727FC9"/>
    <w:rsid w:val="0073379E"/>
    <w:rsid w:val="00736729"/>
    <w:rsid w:val="00737579"/>
    <w:rsid w:val="00740922"/>
    <w:rsid w:val="00751D15"/>
    <w:rsid w:val="00753ABE"/>
    <w:rsid w:val="00763BD0"/>
    <w:rsid w:val="00774E7B"/>
    <w:rsid w:val="0078001C"/>
    <w:rsid w:val="007824C0"/>
    <w:rsid w:val="007860DD"/>
    <w:rsid w:val="007971A7"/>
    <w:rsid w:val="007A1F48"/>
    <w:rsid w:val="007A3DFA"/>
    <w:rsid w:val="007B02EB"/>
    <w:rsid w:val="007C28A1"/>
    <w:rsid w:val="007D1CA6"/>
    <w:rsid w:val="007D4245"/>
    <w:rsid w:val="007D5218"/>
    <w:rsid w:val="007E6702"/>
    <w:rsid w:val="007F0A8B"/>
    <w:rsid w:val="007F5867"/>
    <w:rsid w:val="008000AE"/>
    <w:rsid w:val="00800C13"/>
    <w:rsid w:val="00803EE1"/>
    <w:rsid w:val="00805999"/>
    <w:rsid w:val="008076E5"/>
    <w:rsid w:val="00810BEC"/>
    <w:rsid w:val="00817F80"/>
    <w:rsid w:val="008242CB"/>
    <w:rsid w:val="0083344E"/>
    <w:rsid w:val="00835CC7"/>
    <w:rsid w:val="00865590"/>
    <w:rsid w:val="00870055"/>
    <w:rsid w:val="0087037F"/>
    <w:rsid w:val="00877471"/>
    <w:rsid w:val="00882ABF"/>
    <w:rsid w:val="00882D4F"/>
    <w:rsid w:val="008935A1"/>
    <w:rsid w:val="008A3878"/>
    <w:rsid w:val="008B0F11"/>
    <w:rsid w:val="008B1E08"/>
    <w:rsid w:val="008B46B5"/>
    <w:rsid w:val="008C4F97"/>
    <w:rsid w:val="008E3266"/>
    <w:rsid w:val="008E5ECB"/>
    <w:rsid w:val="008E6B4C"/>
    <w:rsid w:val="0090201A"/>
    <w:rsid w:val="00904ABC"/>
    <w:rsid w:val="00921B8F"/>
    <w:rsid w:val="009304E9"/>
    <w:rsid w:val="00941817"/>
    <w:rsid w:val="00947A90"/>
    <w:rsid w:val="00951BA9"/>
    <w:rsid w:val="00957FEE"/>
    <w:rsid w:val="00961330"/>
    <w:rsid w:val="0096280D"/>
    <w:rsid w:val="00966209"/>
    <w:rsid w:val="00974AB3"/>
    <w:rsid w:val="00987D27"/>
    <w:rsid w:val="00996DD1"/>
    <w:rsid w:val="009A2C55"/>
    <w:rsid w:val="009A3A3B"/>
    <w:rsid w:val="009A5F51"/>
    <w:rsid w:val="009A7B91"/>
    <w:rsid w:val="009B00FA"/>
    <w:rsid w:val="009B29A1"/>
    <w:rsid w:val="009B711F"/>
    <w:rsid w:val="009B723C"/>
    <w:rsid w:val="009C36E5"/>
    <w:rsid w:val="009D2B7A"/>
    <w:rsid w:val="009E1E31"/>
    <w:rsid w:val="009E6861"/>
    <w:rsid w:val="009E743D"/>
    <w:rsid w:val="00A1239A"/>
    <w:rsid w:val="00A1496A"/>
    <w:rsid w:val="00A16ACB"/>
    <w:rsid w:val="00A16D14"/>
    <w:rsid w:val="00A2511B"/>
    <w:rsid w:val="00A27FF3"/>
    <w:rsid w:val="00A3002E"/>
    <w:rsid w:val="00A50EBC"/>
    <w:rsid w:val="00A6037E"/>
    <w:rsid w:val="00A60AE2"/>
    <w:rsid w:val="00A6559A"/>
    <w:rsid w:val="00A66E04"/>
    <w:rsid w:val="00A67172"/>
    <w:rsid w:val="00A7215A"/>
    <w:rsid w:val="00A8073B"/>
    <w:rsid w:val="00AA7F7E"/>
    <w:rsid w:val="00AD6E52"/>
    <w:rsid w:val="00AE0688"/>
    <w:rsid w:val="00AF3E31"/>
    <w:rsid w:val="00B00E63"/>
    <w:rsid w:val="00B07E77"/>
    <w:rsid w:val="00B17071"/>
    <w:rsid w:val="00B3140B"/>
    <w:rsid w:val="00B3430B"/>
    <w:rsid w:val="00B40E3A"/>
    <w:rsid w:val="00B5100E"/>
    <w:rsid w:val="00B6277D"/>
    <w:rsid w:val="00B66312"/>
    <w:rsid w:val="00B706C9"/>
    <w:rsid w:val="00B80360"/>
    <w:rsid w:val="00B821FE"/>
    <w:rsid w:val="00B8685C"/>
    <w:rsid w:val="00B90521"/>
    <w:rsid w:val="00B92DE2"/>
    <w:rsid w:val="00BC33BF"/>
    <w:rsid w:val="00BD521B"/>
    <w:rsid w:val="00BE0369"/>
    <w:rsid w:val="00BE1E8B"/>
    <w:rsid w:val="00BE2030"/>
    <w:rsid w:val="00BE3C01"/>
    <w:rsid w:val="00BF1233"/>
    <w:rsid w:val="00BF13D6"/>
    <w:rsid w:val="00C0506C"/>
    <w:rsid w:val="00C0600D"/>
    <w:rsid w:val="00C11958"/>
    <w:rsid w:val="00C208DC"/>
    <w:rsid w:val="00C31E17"/>
    <w:rsid w:val="00C3447B"/>
    <w:rsid w:val="00C34509"/>
    <w:rsid w:val="00C41047"/>
    <w:rsid w:val="00C44AA5"/>
    <w:rsid w:val="00C45F69"/>
    <w:rsid w:val="00C62C66"/>
    <w:rsid w:val="00C651D1"/>
    <w:rsid w:val="00C67DC0"/>
    <w:rsid w:val="00C75664"/>
    <w:rsid w:val="00C90861"/>
    <w:rsid w:val="00CA14C1"/>
    <w:rsid w:val="00CB64C9"/>
    <w:rsid w:val="00CD2ECB"/>
    <w:rsid w:val="00CE3AAC"/>
    <w:rsid w:val="00CE4DD2"/>
    <w:rsid w:val="00CF0934"/>
    <w:rsid w:val="00CF3942"/>
    <w:rsid w:val="00D01F73"/>
    <w:rsid w:val="00D02230"/>
    <w:rsid w:val="00D14C82"/>
    <w:rsid w:val="00D15439"/>
    <w:rsid w:val="00D15ABE"/>
    <w:rsid w:val="00D314E7"/>
    <w:rsid w:val="00D37FD5"/>
    <w:rsid w:val="00D426E3"/>
    <w:rsid w:val="00D51BF9"/>
    <w:rsid w:val="00D51C08"/>
    <w:rsid w:val="00D6143F"/>
    <w:rsid w:val="00D62F94"/>
    <w:rsid w:val="00D679C9"/>
    <w:rsid w:val="00D70B12"/>
    <w:rsid w:val="00D71BBD"/>
    <w:rsid w:val="00D7494E"/>
    <w:rsid w:val="00D8283C"/>
    <w:rsid w:val="00D85C07"/>
    <w:rsid w:val="00D92791"/>
    <w:rsid w:val="00D9289D"/>
    <w:rsid w:val="00D93491"/>
    <w:rsid w:val="00DA5692"/>
    <w:rsid w:val="00DB5A28"/>
    <w:rsid w:val="00DD0185"/>
    <w:rsid w:val="00DE2B74"/>
    <w:rsid w:val="00DF4FCC"/>
    <w:rsid w:val="00DF646F"/>
    <w:rsid w:val="00DF796A"/>
    <w:rsid w:val="00E00D6A"/>
    <w:rsid w:val="00E207C5"/>
    <w:rsid w:val="00E339D5"/>
    <w:rsid w:val="00E36022"/>
    <w:rsid w:val="00E4393E"/>
    <w:rsid w:val="00E55020"/>
    <w:rsid w:val="00E65464"/>
    <w:rsid w:val="00E717D4"/>
    <w:rsid w:val="00E800D8"/>
    <w:rsid w:val="00E819B9"/>
    <w:rsid w:val="00E908EE"/>
    <w:rsid w:val="00E93733"/>
    <w:rsid w:val="00EA150C"/>
    <w:rsid w:val="00EB3574"/>
    <w:rsid w:val="00EC7332"/>
    <w:rsid w:val="00ED299F"/>
    <w:rsid w:val="00EF0DB5"/>
    <w:rsid w:val="00EF2901"/>
    <w:rsid w:val="00F04C1A"/>
    <w:rsid w:val="00F10BE8"/>
    <w:rsid w:val="00F30CA9"/>
    <w:rsid w:val="00F30CDD"/>
    <w:rsid w:val="00F3502C"/>
    <w:rsid w:val="00F37101"/>
    <w:rsid w:val="00F41F18"/>
    <w:rsid w:val="00F5088A"/>
    <w:rsid w:val="00F527D8"/>
    <w:rsid w:val="00F57045"/>
    <w:rsid w:val="00F80AEC"/>
    <w:rsid w:val="00F91143"/>
    <w:rsid w:val="00F9789E"/>
    <w:rsid w:val="00FA0993"/>
    <w:rsid w:val="00FA55D2"/>
    <w:rsid w:val="00FA56A0"/>
    <w:rsid w:val="00FB0AC6"/>
    <w:rsid w:val="00FB7EE1"/>
    <w:rsid w:val="00FC18ED"/>
    <w:rsid w:val="00FC194F"/>
    <w:rsid w:val="00FD5259"/>
    <w:rsid w:val="00FD708F"/>
    <w:rsid w:val="00FE6718"/>
    <w:rsid w:val="00FF4453"/>
    <w:rsid w:val="00FF4EFD"/>
    <w:rsid w:val="09636D91"/>
    <w:rsid w:val="52EBDB62"/>
    <w:rsid w:val="5DC40E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151C"/>
  <w15:chartTrackingRefBased/>
  <w15:docId w15:val="{A9ADAE6C-9AD6-45C0-8AAE-4F962351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8"/>
      </w:numPr>
      <w:spacing w:before="48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numPr>
        <w:ilvl w:val="1"/>
        <w:numId w:val="18"/>
      </w:numPr>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numPr>
        <w:ilvl w:val="2"/>
        <w:numId w:val="18"/>
      </w:numPr>
      <w:spacing w:before="240" w:after="0"/>
      <w:outlineLvl w:val="2"/>
    </w:pPr>
    <w:rPr>
      <w:rFonts w:eastAsiaTheme="majorEastAsia" w:cs="Arial"/>
      <w:b/>
      <w:bCs/>
      <w:i/>
      <w:iCs/>
      <w:szCs w:val="20"/>
    </w:rPr>
  </w:style>
  <w:style w:type="paragraph" w:styleId="Heading4">
    <w:name w:val="heading 4"/>
    <w:basedOn w:val="Normal"/>
    <w:next w:val="Normal"/>
    <w:link w:val="Heading4Char"/>
    <w:uiPriority w:val="9"/>
    <w:semiHidden/>
    <w:unhideWhenUsed/>
    <w:qFormat/>
    <w:rsid w:val="009E6861"/>
    <w:pPr>
      <w:keepNext/>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6861"/>
    <w:pPr>
      <w:keepNext/>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6861"/>
    <w:pPr>
      <w:keepNext/>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6861"/>
    <w:pPr>
      <w:keepNext/>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6861"/>
    <w:pPr>
      <w:keepNext/>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6861"/>
    <w:pPr>
      <w:keepNext/>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paragraph" w:styleId="CommentText">
    <w:name w:val="annotation text"/>
    <w:basedOn w:val="Normal"/>
    <w:link w:val="CommentTextChar"/>
    <w:uiPriority w:val="99"/>
    <w:unhideWhenUsed/>
    <w:rsid w:val="00351D92"/>
    <w:pPr>
      <w:spacing w:line="240" w:lineRule="auto"/>
    </w:pPr>
    <w:rPr>
      <w:szCs w:val="20"/>
    </w:rPr>
  </w:style>
  <w:style w:type="character" w:customStyle="1" w:styleId="CommentTextChar">
    <w:name w:val="Comment Text Char"/>
    <w:basedOn w:val="DefaultParagraphFont"/>
    <w:link w:val="CommentText"/>
    <w:uiPriority w:val="99"/>
    <w:rsid w:val="00351D92"/>
    <w:rPr>
      <w:rFonts w:ascii="Arial" w:hAnsi="Arial"/>
      <w:sz w:val="20"/>
      <w:szCs w:val="20"/>
    </w:rPr>
  </w:style>
  <w:style w:type="character" w:styleId="CommentReference">
    <w:name w:val="annotation reference"/>
    <w:basedOn w:val="DefaultParagraphFont"/>
    <w:semiHidden/>
    <w:unhideWhenUsed/>
    <w:rsid w:val="00351D92"/>
    <w:rPr>
      <w:sz w:val="16"/>
      <w:szCs w:val="16"/>
    </w:rPr>
  </w:style>
  <w:style w:type="character" w:customStyle="1" w:styleId="Heading4Char">
    <w:name w:val="Heading 4 Char"/>
    <w:basedOn w:val="DefaultParagraphFont"/>
    <w:link w:val="Heading4"/>
    <w:uiPriority w:val="9"/>
    <w:semiHidden/>
    <w:rsid w:val="009E6861"/>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9E686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E686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E686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E68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6861"/>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1934DD"/>
    <w:rPr>
      <w:b/>
      <w:bCs/>
    </w:rPr>
  </w:style>
  <w:style w:type="character" w:customStyle="1" w:styleId="CommentSubjectChar">
    <w:name w:val="Comment Subject Char"/>
    <w:basedOn w:val="CommentTextChar"/>
    <w:link w:val="CommentSubject"/>
    <w:uiPriority w:val="99"/>
    <w:semiHidden/>
    <w:rsid w:val="001934DD"/>
    <w:rPr>
      <w:rFonts w:ascii="Arial" w:hAnsi="Arial"/>
      <w:b/>
      <w:bCs/>
      <w:sz w:val="20"/>
      <w:szCs w:val="20"/>
    </w:rPr>
  </w:style>
  <w:style w:type="character" w:styleId="Mention">
    <w:name w:val="Mention"/>
    <w:basedOn w:val="DefaultParagraphFont"/>
    <w:uiPriority w:val="99"/>
    <w:unhideWhenUsed/>
    <w:rsid w:val="001934DD"/>
    <w:rPr>
      <w:color w:val="2B579A"/>
      <w:shd w:val="clear" w:color="auto" w:fill="E1DFDD"/>
    </w:rPr>
  </w:style>
  <w:style w:type="paragraph" w:styleId="Revision">
    <w:name w:val="Revision"/>
    <w:hidden/>
    <w:uiPriority w:val="99"/>
    <w:semiHidden/>
    <w:rsid w:val="00D01F73"/>
    <w:pPr>
      <w:spacing w:after="0" w:line="240" w:lineRule="auto"/>
    </w:pPr>
    <w:rPr>
      <w:rFonts w:ascii="Arial" w:hAnsi="Arial"/>
      <w:sz w:val="20"/>
    </w:rPr>
  </w:style>
  <w:style w:type="paragraph" w:customStyle="1" w:styleId="Default">
    <w:name w:val="Default"/>
    <w:rsid w:val="00A67172"/>
    <w:pPr>
      <w:autoSpaceDE w:val="0"/>
      <w:autoSpaceDN w:val="0"/>
      <w:adjustRightInd w:val="0"/>
      <w:spacing w:after="0" w:line="240" w:lineRule="auto"/>
    </w:pPr>
    <w:rPr>
      <w:rFonts w:ascii="Public Sans (NSW)" w:hAnsi="Public Sans (NSW)" w:cs="Public Sans (NS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ezc\AppData\Local\Microsoft\Windows\INetCache\Content.Outlook\VUMI2O63\ABC2025_Firstname_Lastname-Paper_tit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491156C7B4245AC06D6774D68BFDD"/>
        <w:category>
          <w:name w:val="General"/>
          <w:gallery w:val="placeholder"/>
        </w:category>
        <w:types>
          <w:type w:val="bbPlcHdr"/>
        </w:types>
        <w:behaviors>
          <w:behavior w:val="content"/>
        </w:behaviors>
        <w:guid w:val="{F69F90F1-8D36-4F40-8CA6-B899A228A1FA}"/>
      </w:docPartPr>
      <w:docPartBody>
        <w:p w:rsidR="007971A7" w:rsidRDefault="007971A7">
          <w:pPr>
            <w:pStyle w:val="ED8491156C7B4245AC06D6774D68BFDD"/>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NSW)">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A7"/>
    <w:rsid w:val="00104B88"/>
    <w:rsid w:val="007971A7"/>
    <w:rsid w:val="007F5867"/>
    <w:rsid w:val="00865590"/>
    <w:rsid w:val="00D679C9"/>
    <w:rsid w:val="00D71B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D8491156C7B4245AC06D6774D68BFDD">
    <w:name w:val="ED8491156C7B4245AC06D6774D68B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b17915-b210-43b7-86bd-894eb695e5d9">
      <Terms xmlns="http://schemas.microsoft.com/office/infopath/2007/PartnerControls"/>
    </lcf76f155ced4ddcb4097134ff3c332f>
    <TaxCatchAll xmlns="d7d9d4be-181a-40f2-8d16-9657a01b7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4A96806FFDF4AA30E000BD717CEE2" ma:contentTypeVersion="15" ma:contentTypeDescription="Create a new document." ma:contentTypeScope="" ma:versionID="7467a6932ac2119125cefefb127e9130">
  <xsd:schema xmlns:xsd="http://www.w3.org/2001/XMLSchema" xmlns:xs="http://www.w3.org/2001/XMLSchema" xmlns:p="http://schemas.microsoft.com/office/2006/metadata/properties" xmlns:ns2="76b17915-b210-43b7-86bd-894eb695e5d9" xmlns:ns3="d7d9d4be-181a-40f2-8d16-9657a01b7ebb" targetNamespace="http://schemas.microsoft.com/office/2006/metadata/properties" ma:root="true" ma:fieldsID="66271570c6663dd9dc3f741c97cc3c42" ns2:_="" ns3:_="">
    <xsd:import namespace="76b17915-b210-43b7-86bd-894eb695e5d9"/>
    <xsd:import namespace="d7d9d4be-181a-40f2-8d16-9657a01b7eb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7915-b210-43b7-86bd-894eb695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9d4be-181a-40f2-8d16-9657a01b7e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5176aa-ba53-41ca-953b-775ba53cbef6}" ma:internalName="TaxCatchAll" ma:showField="CatchAllData" ma:web="d7d9d4be-181a-40f2-8d16-9657a01b7eb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895E9-A19A-4F36-8D0F-8D7396257721}">
  <ds:schemaRefs>
    <ds:schemaRef ds:uri="d7d9d4be-181a-40f2-8d16-9657a01b7ebb"/>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76b17915-b210-43b7-86bd-894eb695e5d9"/>
    <ds:schemaRef ds:uri="http://www.w3.org/XML/1998/namespace"/>
  </ds:schemaRefs>
</ds:datastoreItem>
</file>

<file path=customXml/itemProps3.xml><?xml version="1.0" encoding="utf-8"?>
<ds:datastoreItem xmlns:ds="http://schemas.openxmlformats.org/officeDocument/2006/customXml" ds:itemID="{2F2C3DDD-A1D2-4EE0-87D2-AD96DE49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7915-b210-43b7-86bd-894eb695e5d9"/>
    <ds:schemaRef ds:uri="d7d9d4be-181a-40f2-8d16-9657a01b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5.xml><?xml version="1.0" encoding="utf-8"?>
<ds:datastoreItem xmlns:ds="http://schemas.openxmlformats.org/officeDocument/2006/customXml" ds:itemID="{C01686B4-412A-4A3E-9895-36C7A549791C}">
  <ds:schemaRefs>
    <ds:schemaRef ds:uri="http://schemas.microsoft.com/sharepoint/v3/contenttype/forms"/>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ABC2025_Firstname_Lastname-Paper_title</Template>
  <TotalTime>16</TotalTime>
  <Pages>8</Pages>
  <Words>3001</Words>
  <Characters>17108</Characters>
  <Application>Microsoft Office Word</Application>
  <DocSecurity>4</DocSecurity>
  <Lines>142</Lines>
  <Paragraphs>40</Paragraphs>
  <ScaleCrop>false</ScaleCrop>
  <Company/>
  <LinksUpToDate>false</LinksUpToDate>
  <CharactersWithSpaces>20069</CharactersWithSpaces>
  <SharedDoc>false</SharedDoc>
  <HLinks>
    <vt:vector size="18" baseType="variant">
      <vt:variant>
        <vt:i4>8257557</vt:i4>
      </vt:variant>
      <vt:variant>
        <vt:i4>6</vt:i4>
      </vt:variant>
      <vt:variant>
        <vt:i4>0</vt:i4>
      </vt:variant>
      <vt:variant>
        <vt:i4>5</vt:i4>
      </vt:variant>
      <vt:variant>
        <vt:lpwstr>mailto:Celestino.VALDEZ@transport.nsw.gov.au</vt:lpwstr>
      </vt:variant>
      <vt:variant>
        <vt:lpwstr/>
      </vt:variant>
      <vt:variant>
        <vt:i4>1245291</vt:i4>
      </vt:variant>
      <vt:variant>
        <vt:i4>3</vt:i4>
      </vt:variant>
      <vt:variant>
        <vt:i4>0</vt:i4>
      </vt:variant>
      <vt:variant>
        <vt:i4>5</vt:i4>
      </vt:variant>
      <vt:variant>
        <vt:lpwstr>mailto:Yew.CHONG@transport.nsw.gov.au</vt:lpwstr>
      </vt:variant>
      <vt:variant>
        <vt:lpwstr/>
      </vt:variant>
      <vt:variant>
        <vt:i4>8257557</vt:i4>
      </vt:variant>
      <vt:variant>
        <vt:i4>0</vt:i4>
      </vt:variant>
      <vt:variant>
        <vt:i4>0</vt:i4>
      </vt:variant>
      <vt:variant>
        <vt:i4>5</vt:i4>
      </vt:variant>
      <vt:variant>
        <vt:lpwstr>mailto:Celestino.VALDEZ@transport.nsw.gov.au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of TfNSW Bridges &amp; Structures Standard</dc:title>
  <dc:subject/>
  <dc:creator>Celestino Valdez</dc:creator>
  <cp:keywords/>
  <dc:description/>
  <cp:lastModifiedBy>Celestino Valdez</cp:lastModifiedBy>
  <cp:revision>2</cp:revision>
  <dcterms:created xsi:type="dcterms:W3CDTF">2025-03-17T03:56:00Z</dcterms:created>
  <dcterms:modified xsi:type="dcterms:W3CDTF">2025-03-17T03:56:00Z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0x0101004614A96806FFDF4AA30E000BD717CEE2</vt:lpwstr>
  </property>
  <property fmtid="{D5CDD505-2E9C-101B-9397-08002B2CF9AE}" pid="3" name="Order">
    <vt:r8>100</vt:r8>
  </property>
  <property fmtid="{D5CDD505-2E9C-101B-9397-08002B2CF9AE}" pid="4" name="ClassificationContentMarkingFooterShapeIds">
    <vt:lpwstr>48e677c5,72ce3842,565ba5eb</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ediaServiceImageTags">
    <vt:lpwstr/>
  </property>
</Properties>
</file>