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681F" w14:textId="1B66D4C0" w:rsidR="001628BA" w:rsidRPr="006900FF" w:rsidRDefault="005041A8" w:rsidP="006900FF">
      <w:pPr>
        <w:tabs>
          <w:tab w:val="left" w:pos="6855"/>
        </w:tabs>
        <w:jc w:val="center"/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  <w:r>
        <w:rPr>
          <w:rFonts w:ascii="Avenir Next LT Pro" w:hAnsi="Avenir Next LT Pro"/>
          <w:b/>
          <w:bCs/>
          <w:color w:val="000000" w:themeColor="text1"/>
          <w:sz w:val="28"/>
          <w:szCs w:val="28"/>
        </w:rPr>
        <w:t>MEA NATIONAL AWARDS 2024</w:t>
      </w:r>
      <w:r w:rsidR="006900FF" w:rsidRPr="006900FF">
        <w:rPr>
          <w:rFonts w:ascii="Avenir Next LT Pro" w:hAnsi="Avenir Next LT Pro"/>
          <w:b/>
          <w:bCs/>
          <w:color w:val="000000" w:themeColor="text1"/>
          <w:sz w:val="28"/>
          <w:szCs w:val="28"/>
        </w:rPr>
        <w:br/>
      </w:r>
      <w:r w:rsidR="00E67A3B" w:rsidRPr="006900FF">
        <w:rPr>
          <w:rFonts w:ascii="Avenir Next LT Pro" w:hAnsi="Avenir Next LT Pro"/>
          <w:b/>
          <w:bCs/>
          <w:sz w:val="28"/>
          <w:szCs w:val="28"/>
        </w:rPr>
        <w:t>TERMS AND CONDITIONS</w:t>
      </w:r>
    </w:p>
    <w:p w14:paraId="769CACA9" w14:textId="77777777" w:rsidR="006900FF" w:rsidRDefault="006900FF" w:rsidP="00EA2F2A">
      <w:pP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3AA2E4E1" w14:textId="117E30D7" w:rsidR="001C4FE2" w:rsidRPr="006900FF" w:rsidRDefault="001628BA" w:rsidP="00EA2F2A">
      <w:pP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  <w:r w:rsidRPr="006900FF">
        <w:rPr>
          <w:rFonts w:ascii="Avenir Next LT Pro" w:hAnsi="Avenir Next LT Pro" w:cstheme="minorHAnsi"/>
          <w:b/>
          <w:bCs/>
        </w:rPr>
        <w:t xml:space="preserve">Meetings &amp; Events Australia </w:t>
      </w:r>
      <w:r w:rsidR="00F177F2" w:rsidRPr="006900FF">
        <w:rPr>
          <w:rFonts w:ascii="Avenir Next LT Pro" w:hAnsi="Avenir Next LT Pro" w:cstheme="minorHAnsi"/>
          <w:b/>
          <w:bCs/>
        </w:rPr>
        <w:t xml:space="preserve">(MEA) </w:t>
      </w:r>
      <w:r w:rsidRPr="006900FF">
        <w:rPr>
          <w:rFonts w:ascii="Avenir Next LT Pro" w:hAnsi="Avenir Next LT Pro" w:cstheme="minorHAnsi"/>
          <w:b/>
          <w:bCs/>
        </w:rPr>
        <w:t>(ABN 002 967 366) is the owner</w:t>
      </w:r>
      <w:r w:rsidR="00EA2F2A" w:rsidRPr="006900FF">
        <w:rPr>
          <w:rFonts w:ascii="Avenir Next LT Pro" w:hAnsi="Avenir Next LT Pro" w:cstheme="minorHAnsi"/>
          <w:b/>
          <w:bCs/>
        </w:rPr>
        <w:t xml:space="preserve">, </w:t>
      </w:r>
      <w:r w:rsidR="006900FF" w:rsidRPr="006900FF">
        <w:rPr>
          <w:rFonts w:ascii="Avenir Next LT Pro" w:hAnsi="Avenir Next LT Pro" w:cstheme="minorHAnsi"/>
          <w:b/>
          <w:bCs/>
        </w:rPr>
        <w:t>operator,</w:t>
      </w:r>
      <w:r w:rsidR="00EA2F2A" w:rsidRPr="006900FF">
        <w:rPr>
          <w:rFonts w:ascii="Avenir Next LT Pro" w:hAnsi="Avenir Next LT Pro" w:cstheme="minorHAnsi"/>
          <w:b/>
          <w:bCs/>
        </w:rPr>
        <w:t xml:space="preserve"> and conveyor </w:t>
      </w:r>
      <w:r w:rsidRPr="006900FF">
        <w:rPr>
          <w:rFonts w:ascii="Avenir Next LT Pro" w:hAnsi="Avenir Next LT Pro" w:cstheme="minorHAnsi"/>
          <w:b/>
          <w:bCs/>
        </w:rPr>
        <w:t>of the annual Meetings &amp; Events Australia National Awards</w:t>
      </w:r>
      <w:r w:rsidR="00943CC0" w:rsidRPr="006900FF">
        <w:rPr>
          <w:rFonts w:ascii="Avenir Next LT Pro" w:hAnsi="Avenir Next LT Pro" w:cstheme="minorHAnsi"/>
          <w:b/>
          <w:bCs/>
        </w:rPr>
        <w:t xml:space="preserve"> (Awards)</w:t>
      </w:r>
      <w:r w:rsidRPr="006900FF">
        <w:rPr>
          <w:rFonts w:ascii="Avenir Next LT Pro" w:hAnsi="Avenir Next LT Pro" w:cstheme="minorHAnsi"/>
          <w:b/>
          <w:bCs/>
        </w:rPr>
        <w:t>.</w:t>
      </w:r>
    </w:p>
    <w:p w14:paraId="5BB63F3A" w14:textId="652C5FDF" w:rsidR="00EA2F2A" w:rsidRPr="006900FF" w:rsidRDefault="00EA2F2A" w:rsidP="00EA2F2A">
      <w:pP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7266ECDD" w14:textId="0FF33089" w:rsidR="00EA2F2A" w:rsidRPr="006900FF" w:rsidRDefault="00EA2F2A" w:rsidP="004C77E0">
      <w:pP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  <w:r w:rsidRPr="006900FF">
        <w:rPr>
          <w:rFonts w:ascii="Avenir Next LT Pro" w:hAnsi="Avenir Next LT Pro" w:cstheme="minorHAnsi"/>
          <w:b/>
          <w:bCs/>
        </w:rPr>
        <w:t>Upon submitting a</w:t>
      </w:r>
      <w:r w:rsidR="0076415F" w:rsidRPr="006900FF">
        <w:rPr>
          <w:rFonts w:ascii="Avenir Next LT Pro" w:hAnsi="Avenir Next LT Pro" w:cstheme="minorHAnsi"/>
          <w:b/>
          <w:bCs/>
        </w:rPr>
        <w:t xml:space="preserve"> competition</w:t>
      </w:r>
      <w:r w:rsidRPr="006900FF">
        <w:rPr>
          <w:rFonts w:ascii="Avenir Next LT Pro" w:hAnsi="Avenir Next LT Pro" w:cstheme="minorHAnsi"/>
          <w:b/>
          <w:bCs/>
        </w:rPr>
        <w:t xml:space="preserve"> entry</w:t>
      </w:r>
      <w:r w:rsidR="001745B9" w:rsidRPr="006900FF">
        <w:rPr>
          <w:rFonts w:ascii="Avenir Next LT Pro" w:hAnsi="Avenir Next LT Pro" w:cstheme="minorHAnsi"/>
          <w:b/>
          <w:bCs/>
        </w:rPr>
        <w:t>,</w:t>
      </w:r>
      <w:r w:rsidRPr="006900FF">
        <w:rPr>
          <w:rFonts w:ascii="Avenir Next LT Pro" w:hAnsi="Avenir Next LT Pro" w:cstheme="minorHAnsi"/>
          <w:b/>
          <w:bCs/>
        </w:rPr>
        <w:t xml:space="preserve"> the entrant</w:t>
      </w:r>
      <w:r w:rsidR="004C77E0" w:rsidRPr="006900FF">
        <w:rPr>
          <w:rFonts w:ascii="Avenir Next LT Pro" w:hAnsi="Avenir Next LT Pro" w:cstheme="minorHAnsi"/>
          <w:b/>
          <w:bCs/>
        </w:rPr>
        <w:t xml:space="preserve"> agrees that the full set of the </w:t>
      </w:r>
      <w:bookmarkStart w:id="0" w:name="_Hlk118205974"/>
      <w:r w:rsidR="00AA73BB" w:rsidRPr="006900FF">
        <w:rPr>
          <w:rFonts w:ascii="Avenir Next LT Pro" w:hAnsi="Avenir Next LT Pro" w:cstheme="minorHAnsi"/>
          <w:b/>
          <w:bCs/>
        </w:rPr>
        <w:t>202</w:t>
      </w:r>
      <w:r w:rsidR="005041A8">
        <w:rPr>
          <w:rFonts w:ascii="Avenir Next LT Pro" w:hAnsi="Avenir Next LT Pro" w:cstheme="minorHAnsi"/>
          <w:b/>
          <w:bCs/>
        </w:rPr>
        <w:t>4</w:t>
      </w:r>
      <w:r w:rsidR="00A61690" w:rsidRPr="006900FF">
        <w:rPr>
          <w:rFonts w:ascii="Avenir Next LT Pro" w:hAnsi="Avenir Next LT Pro" w:cstheme="minorHAnsi"/>
          <w:b/>
          <w:bCs/>
        </w:rPr>
        <w:t xml:space="preserve"> MEA</w:t>
      </w:r>
      <w:r w:rsidR="004C77E0" w:rsidRPr="006900FF">
        <w:rPr>
          <w:rFonts w:ascii="Avenir Next LT Pro" w:hAnsi="Avenir Next LT Pro" w:cstheme="minorHAnsi"/>
          <w:b/>
          <w:bCs/>
        </w:rPr>
        <w:t xml:space="preserve"> AWARDS </w:t>
      </w:r>
      <w:bookmarkEnd w:id="0"/>
      <w:r w:rsidR="004C77E0" w:rsidRPr="006900FF">
        <w:rPr>
          <w:rFonts w:ascii="Avenir Next LT Pro" w:hAnsi="Avenir Next LT Pro" w:cstheme="minorHAnsi"/>
          <w:b/>
          <w:bCs/>
        </w:rPr>
        <w:t>TERMS AND CONDITIONS have been read</w:t>
      </w:r>
      <w:r w:rsidR="001745B9" w:rsidRPr="006900FF">
        <w:rPr>
          <w:rFonts w:ascii="Avenir Next LT Pro" w:hAnsi="Avenir Next LT Pro" w:cstheme="minorHAnsi"/>
          <w:b/>
          <w:bCs/>
        </w:rPr>
        <w:t xml:space="preserve">, </w:t>
      </w:r>
      <w:r w:rsidR="004C77E0" w:rsidRPr="006900FF">
        <w:rPr>
          <w:rFonts w:ascii="Avenir Next LT Pro" w:hAnsi="Avenir Next LT Pro" w:cstheme="minorHAnsi"/>
          <w:b/>
          <w:bCs/>
        </w:rPr>
        <w:t xml:space="preserve">are understood, </w:t>
      </w:r>
      <w:r w:rsidR="009E6FC6" w:rsidRPr="006900FF">
        <w:rPr>
          <w:rFonts w:ascii="Avenir Next LT Pro" w:hAnsi="Avenir Next LT Pro" w:cstheme="minorHAnsi"/>
          <w:b/>
          <w:bCs/>
        </w:rPr>
        <w:t xml:space="preserve">are </w:t>
      </w:r>
      <w:r w:rsidR="00A40B42" w:rsidRPr="006900FF">
        <w:rPr>
          <w:rFonts w:ascii="Avenir Next LT Pro" w:hAnsi="Avenir Next LT Pro" w:cstheme="minorHAnsi"/>
          <w:b/>
          <w:bCs/>
        </w:rPr>
        <w:t>agreed to</w:t>
      </w:r>
      <w:r w:rsidR="009E6FC6" w:rsidRPr="006900FF">
        <w:rPr>
          <w:rFonts w:ascii="Avenir Next LT Pro" w:hAnsi="Avenir Next LT Pro" w:cstheme="minorHAnsi"/>
          <w:b/>
          <w:bCs/>
        </w:rPr>
        <w:t xml:space="preserve"> </w:t>
      </w:r>
      <w:r w:rsidR="004C77E0" w:rsidRPr="006900FF">
        <w:rPr>
          <w:rFonts w:ascii="Avenir Next LT Pro" w:hAnsi="Avenir Next LT Pro" w:cstheme="minorHAnsi"/>
          <w:b/>
          <w:bCs/>
        </w:rPr>
        <w:t xml:space="preserve">and </w:t>
      </w:r>
      <w:r w:rsidRPr="006900FF">
        <w:rPr>
          <w:rFonts w:ascii="Avenir Next LT Pro" w:hAnsi="Avenir Next LT Pro" w:cstheme="minorHAnsi"/>
          <w:b/>
          <w:bCs/>
        </w:rPr>
        <w:t xml:space="preserve">to be bound by and </w:t>
      </w:r>
      <w:r w:rsidR="004C77E0" w:rsidRPr="006900FF">
        <w:rPr>
          <w:rFonts w:ascii="Avenir Next LT Pro" w:hAnsi="Avenir Next LT Pro" w:cstheme="minorHAnsi"/>
          <w:b/>
          <w:bCs/>
        </w:rPr>
        <w:t xml:space="preserve">to </w:t>
      </w:r>
      <w:r w:rsidRPr="006900FF">
        <w:rPr>
          <w:rFonts w:ascii="Avenir Next LT Pro" w:hAnsi="Avenir Next LT Pro" w:cstheme="minorHAnsi"/>
          <w:b/>
          <w:bCs/>
        </w:rPr>
        <w:t xml:space="preserve">adhere to </w:t>
      </w:r>
      <w:r w:rsidR="004C77E0" w:rsidRPr="006900FF">
        <w:rPr>
          <w:rFonts w:ascii="Avenir Next LT Pro" w:hAnsi="Avenir Next LT Pro" w:cstheme="minorHAnsi"/>
          <w:b/>
          <w:bCs/>
        </w:rPr>
        <w:t>those insofar as the</w:t>
      </w:r>
      <w:bookmarkStart w:id="1" w:name="_Hlk118271819"/>
      <w:r w:rsidR="00A61690" w:rsidRPr="006900FF">
        <w:rPr>
          <w:rFonts w:ascii="Avenir Next LT Pro" w:hAnsi="Avenir Next LT Pro" w:cstheme="minorHAnsi"/>
          <w:b/>
          <w:bCs/>
        </w:rPr>
        <w:t xml:space="preserve"> MEA</w:t>
      </w:r>
      <w:r w:rsidR="005041A8">
        <w:rPr>
          <w:rFonts w:ascii="Avenir Next LT Pro" w:hAnsi="Avenir Next LT Pro" w:cstheme="minorHAnsi"/>
          <w:b/>
          <w:bCs/>
        </w:rPr>
        <w:t xml:space="preserve"> National</w:t>
      </w:r>
      <w:r w:rsidR="004C77E0" w:rsidRPr="006900FF">
        <w:rPr>
          <w:rFonts w:ascii="Avenir Next LT Pro" w:hAnsi="Avenir Next LT Pro" w:cstheme="minorHAnsi"/>
          <w:b/>
          <w:bCs/>
        </w:rPr>
        <w:t xml:space="preserve"> Awards</w:t>
      </w:r>
      <w:bookmarkEnd w:id="1"/>
      <w:r w:rsidR="00E143F8">
        <w:rPr>
          <w:rFonts w:ascii="Avenir Next LT Pro" w:hAnsi="Avenir Next LT Pro" w:cstheme="minorHAnsi"/>
          <w:b/>
          <w:bCs/>
        </w:rPr>
        <w:t xml:space="preserve"> </w:t>
      </w:r>
      <w:r w:rsidR="001745B9" w:rsidRPr="006900FF">
        <w:rPr>
          <w:rFonts w:ascii="Avenir Next LT Pro" w:hAnsi="Avenir Next LT Pro" w:cstheme="minorHAnsi"/>
          <w:b/>
          <w:bCs/>
        </w:rPr>
        <w:t>is concerned.</w:t>
      </w:r>
    </w:p>
    <w:p w14:paraId="3399BF07" w14:textId="3F3C62B6" w:rsidR="00EA2F2A" w:rsidRPr="006900FF" w:rsidRDefault="00EA2F2A" w:rsidP="00EA2F2A">
      <w:pPr>
        <w:pBdr>
          <w:bottom w:val="single" w:sz="12" w:space="1" w:color="auto"/>
        </w:pBd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  <w:bookmarkStart w:id="2" w:name="_Hlk118213346"/>
    </w:p>
    <w:p w14:paraId="7C417B25" w14:textId="227179E0" w:rsidR="0076415F" w:rsidRPr="006900FF" w:rsidRDefault="0076415F" w:rsidP="00EA2F2A">
      <w:pP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3A528750" w14:textId="2ADA0A26" w:rsidR="006900FF" w:rsidRPr="006900FF" w:rsidRDefault="0076415F" w:rsidP="006900FF">
      <w:pPr>
        <w:pStyle w:val="ListParagraph"/>
        <w:numPr>
          <w:ilvl w:val="0"/>
          <w:numId w:val="34"/>
        </w:numPr>
        <w:contextualSpacing/>
        <w:rPr>
          <w:rFonts w:ascii="Avenir Next LT Pro" w:hAnsi="Avenir Next LT Pro"/>
          <w:b/>
          <w:bCs/>
        </w:rPr>
      </w:pPr>
      <w:r w:rsidRPr="006900FF">
        <w:rPr>
          <w:rFonts w:ascii="Avenir Next LT Pro" w:hAnsi="Avenir Next LT Pro"/>
          <w:b/>
          <w:bCs/>
        </w:rPr>
        <w:t>FUNDAMENTALS</w:t>
      </w:r>
    </w:p>
    <w:p w14:paraId="265D6123" w14:textId="163830DF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All entries must be submitted online via the </w:t>
      </w:r>
      <w:r w:rsidR="006900FF">
        <w:rPr>
          <w:rFonts w:ascii="Avenir Next LT Pro" w:hAnsi="Avenir Next LT Pro"/>
        </w:rPr>
        <w:t xml:space="preserve">MEA </w:t>
      </w:r>
      <w:r w:rsidRPr="006900FF">
        <w:rPr>
          <w:rFonts w:ascii="Avenir Next LT Pro" w:hAnsi="Avenir Next LT Pro"/>
        </w:rPr>
        <w:t xml:space="preserve">Awards </w:t>
      </w:r>
      <w:r w:rsidR="006900FF">
        <w:rPr>
          <w:rFonts w:ascii="Avenir Next LT Pro" w:hAnsi="Avenir Next LT Pro"/>
        </w:rPr>
        <w:t>Portal</w:t>
      </w:r>
      <w:r w:rsidRPr="006900FF">
        <w:rPr>
          <w:rFonts w:ascii="Avenir Next LT Pro" w:hAnsi="Avenir Next LT Pro"/>
        </w:rPr>
        <w:t>.</w:t>
      </w:r>
      <w:r w:rsidR="005B7B29" w:rsidRPr="006900FF">
        <w:rPr>
          <w:rFonts w:ascii="Avenir Next LT Pro" w:hAnsi="Avenir Next LT Pro"/>
        </w:rPr>
        <w:t xml:space="preserve"> In doing so, the entrant consents to the storage and transfer of personal information in the cloud.</w:t>
      </w:r>
    </w:p>
    <w:p w14:paraId="67643230" w14:textId="4F0FD603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The closing date and time for entry is </w:t>
      </w:r>
      <w:r w:rsidR="00E143F8">
        <w:rPr>
          <w:rFonts w:ascii="Avenir Next LT Pro" w:hAnsi="Avenir Next LT Pro"/>
        </w:rPr>
        <w:t>Friday</w:t>
      </w:r>
      <w:r w:rsidR="00C075D2" w:rsidRPr="006900FF">
        <w:rPr>
          <w:rFonts w:ascii="Avenir Next LT Pro" w:hAnsi="Avenir Next LT Pro"/>
        </w:rPr>
        <w:t xml:space="preserve"> 1</w:t>
      </w:r>
      <w:r w:rsidR="00E143F8">
        <w:rPr>
          <w:rFonts w:ascii="Avenir Next LT Pro" w:hAnsi="Avenir Next LT Pro"/>
        </w:rPr>
        <w:t>4</w:t>
      </w:r>
      <w:r w:rsidR="00C075D2" w:rsidRPr="006900FF">
        <w:rPr>
          <w:rFonts w:ascii="Avenir Next LT Pro" w:hAnsi="Avenir Next LT Pro"/>
        </w:rPr>
        <w:t xml:space="preserve"> February </w:t>
      </w:r>
      <w:r w:rsidR="00A61690" w:rsidRPr="006900FF">
        <w:rPr>
          <w:rFonts w:ascii="Avenir Next LT Pro" w:hAnsi="Avenir Next LT Pro"/>
        </w:rPr>
        <w:t>202</w:t>
      </w:r>
      <w:r w:rsidR="00F03214" w:rsidRPr="006900FF">
        <w:rPr>
          <w:rFonts w:ascii="Avenir Next LT Pro" w:hAnsi="Avenir Next LT Pro"/>
        </w:rPr>
        <w:t>4</w:t>
      </w:r>
      <w:r w:rsidR="00A61690" w:rsidRPr="006900FF">
        <w:rPr>
          <w:rFonts w:ascii="Avenir Next LT Pro" w:hAnsi="Avenir Next LT Pro"/>
        </w:rPr>
        <w:t xml:space="preserve"> at 11:59pm</w:t>
      </w:r>
      <w:r w:rsidR="006900FF">
        <w:rPr>
          <w:rFonts w:ascii="Avenir Next LT Pro" w:hAnsi="Avenir Next LT Pro"/>
        </w:rPr>
        <w:t xml:space="preserve"> [AEDT]</w:t>
      </w:r>
      <w:r w:rsidRPr="006900FF">
        <w:rPr>
          <w:rFonts w:ascii="Avenir Next LT Pro" w:hAnsi="Avenir Next LT Pro"/>
        </w:rPr>
        <w:t>. No entry will be accepted thereafter.</w:t>
      </w:r>
    </w:p>
    <w:p w14:paraId="09E6374E" w14:textId="77777777" w:rsidR="0076415F" w:rsidRPr="006900FF" w:rsidRDefault="0076415F" w:rsidP="0076415F">
      <w:pPr>
        <w:pStyle w:val="ListParagraph"/>
        <w:numPr>
          <w:ilvl w:val="2"/>
          <w:numId w:val="34"/>
        </w:numPr>
        <w:ind w:left="1560" w:hanging="709"/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For purposes it may deem necessary, MEA reserves the right to extend the closing date and time.</w:t>
      </w:r>
    </w:p>
    <w:p w14:paraId="5FE452F9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Full payment must be made per entry and concurrently with entry submission. An entry will be considered invalid without co-payment.</w:t>
      </w:r>
    </w:p>
    <w:p w14:paraId="77DD3375" w14:textId="5EDB9636" w:rsidR="0076415F" w:rsidRPr="006900FF" w:rsidRDefault="00695331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  <w:color w:val="242424"/>
          <w:shd w:val="clear" w:color="auto" w:fill="FFFFFF"/>
        </w:rPr>
        <w:t xml:space="preserve">Entry fees are Australian Dollar amounts and include GST. Please note all Visa and Mastercard purchases will incur a non-refundable </w:t>
      </w:r>
      <w:r w:rsidRPr="002E353D">
        <w:rPr>
          <w:rFonts w:ascii="Avenir Next LT Pro" w:hAnsi="Avenir Next LT Pro"/>
          <w:color w:val="242424"/>
          <w:shd w:val="clear" w:color="auto" w:fill="FFFFFF"/>
        </w:rPr>
        <w:t>1</w:t>
      </w:r>
      <w:r w:rsidR="004B247E" w:rsidRPr="002E353D">
        <w:rPr>
          <w:rFonts w:ascii="Avenir Next LT Pro" w:hAnsi="Avenir Next LT Pro"/>
          <w:color w:val="242424"/>
          <w:shd w:val="clear" w:color="auto" w:fill="FFFFFF"/>
        </w:rPr>
        <w:t>.0</w:t>
      </w:r>
      <w:r w:rsidRPr="002E353D">
        <w:rPr>
          <w:rFonts w:ascii="Avenir Next LT Pro" w:hAnsi="Avenir Next LT Pro"/>
          <w:color w:val="242424"/>
          <w:shd w:val="clear" w:color="auto" w:fill="FFFFFF"/>
        </w:rPr>
        <w:t>%</w:t>
      </w:r>
      <w:r w:rsidRPr="006900FF">
        <w:rPr>
          <w:rFonts w:ascii="Avenir Next LT Pro" w:hAnsi="Avenir Next LT Pro"/>
          <w:color w:val="242424"/>
          <w:shd w:val="clear" w:color="auto" w:fill="FFFFFF"/>
        </w:rPr>
        <w:t xml:space="preserve"> surcharge charged in Australian Dollars. All American Express purchases will incur a non-refundable </w:t>
      </w:r>
      <w:r w:rsidR="00050899" w:rsidRPr="002E353D">
        <w:rPr>
          <w:rFonts w:ascii="Avenir Next LT Pro" w:hAnsi="Avenir Next LT Pro"/>
          <w:color w:val="242424"/>
          <w:shd w:val="clear" w:color="auto" w:fill="FFFFFF"/>
        </w:rPr>
        <w:t>1</w:t>
      </w:r>
      <w:r w:rsidRPr="002E353D">
        <w:rPr>
          <w:rFonts w:ascii="Avenir Next LT Pro" w:hAnsi="Avenir Next LT Pro"/>
          <w:color w:val="242424"/>
          <w:shd w:val="clear" w:color="auto" w:fill="FFFFFF"/>
        </w:rPr>
        <w:t>.5%</w:t>
      </w:r>
      <w:r w:rsidRPr="006900FF">
        <w:rPr>
          <w:rFonts w:ascii="Avenir Next LT Pro" w:hAnsi="Avenir Next LT Pro"/>
          <w:color w:val="242424"/>
          <w:shd w:val="clear" w:color="auto" w:fill="FFFFFF"/>
        </w:rPr>
        <w:t xml:space="preserve"> surcharge charged in Australian Dollars. No surcharge applies where payment is made by EFT.</w:t>
      </w:r>
      <w:r w:rsidR="0076415F" w:rsidRPr="006900FF">
        <w:rPr>
          <w:rFonts w:ascii="Avenir Next LT Pro" w:hAnsi="Avenir Next LT Pro"/>
        </w:rPr>
        <w:t xml:space="preserve"> </w:t>
      </w:r>
    </w:p>
    <w:p w14:paraId="2835CB78" w14:textId="204D7592" w:rsidR="005B7B29" w:rsidRPr="006900FF" w:rsidRDefault="005B7B29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Entry fees pertain to </w:t>
      </w:r>
      <w:r w:rsidRPr="006900FF">
        <w:rPr>
          <w:rFonts w:ascii="Avenir Next LT Pro" w:hAnsi="Avenir Next LT Pro"/>
          <w:color w:val="000000" w:themeColor="text1"/>
        </w:rPr>
        <w:t xml:space="preserve">the </w:t>
      </w:r>
      <w:r w:rsidR="004639F3" w:rsidRPr="006900FF">
        <w:rPr>
          <w:rFonts w:ascii="Avenir Next LT Pro" w:hAnsi="Avenir Next LT Pro"/>
          <w:color w:val="000000" w:themeColor="text1"/>
        </w:rPr>
        <w:t>submission</w:t>
      </w:r>
      <w:r w:rsidRPr="006900FF">
        <w:rPr>
          <w:rFonts w:ascii="Avenir Next LT Pro" w:hAnsi="Avenir Next LT Pro"/>
          <w:color w:val="000000" w:themeColor="text1"/>
        </w:rPr>
        <w:t xml:space="preserve"> only an</w:t>
      </w:r>
      <w:r w:rsidRPr="006900FF">
        <w:rPr>
          <w:rFonts w:ascii="Avenir Next LT Pro" w:hAnsi="Avenir Next LT Pro"/>
        </w:rPr>
        <w:t>d are discrete of any state or national event at which awards are presented, for which separate registration and payment will be required.</w:t>
      </w:r>
    </w:p>
    <w:p w14:paraId="7C0C159F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MEA reserves the right to retain any fees charged to the extent permitted by law.</w:t>
      </w:r>
    </w:p>
    <w:p w14:paraId="76A67A5B" w14:textId="7CC21B80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Entr</w:t>
      </w:r>
      <w:r w:rsidR="00A40B42" w:rsidRPr="006900FF">
        <w:rPr>
          <w:rFonts w:ascii="Avenir Next LT Pro" w:hAnsi="Avenir Next LT Pro"/>
        </w:rPr>
        <w:t>y fees</w:t>
      </w:r>
      <w:r w:rsidRPr="006900FF">
        <w:rPr>
          <w:rFonts w:ascii="Avenir Next LT Pro" w:hAnsi="Avenir Next LT Pro"/>
        </w:rPr>
        <w:t xml:space="preserve"> are non-refundable once </w:t>
      </w:r>
      <w:r w:rsidR="00A40B42" w:rsidRPr="006900FF">
        <w:rPr>
          <w:rFonts w:ascii="Avenir Next LT Pro" w:hAnsi="Avenir Next LT Pro"/>
        </w:rPr>
        <w:t>paid</w:t>
      </w:r>
      <w:r w:rsidRPr="006900FF">
        <w:rPr>
          <w:rFonts w:ascii="Avenir Next LT Pro" w:hAnsi="Avenir Next LT Pro"/>
        </w:rPr>
        <w:t>.</w:t>
      </w:r>
    </w:p>
    <w:p w14:paraId="4A267AEF" w14:textId="77777777" w:rsidR="00E400F2" w:rsidRDefault="0076415F" w:rsidP="00E400F2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Entries are non-transferrable to any other person or organisation.</w:t>
      </w:r>
    </w:p>
    <w:p w14:paraId="579322C4" w14:textId="1B8CF367" w:rsidR="00A450E1" w:rsidRPr="00A450E1" w:rsidRDefault="00A450E1" w:rsidP="00A450E1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>
        <w:rPr>
          <w:rFonts w:ascii="Avenir Next LT Pro" w:hAnsi="Avenir Next LT Pro"/>
        </w:rPr>
        <w:t>MEA reserves the right to reject an entry without giving reason or to terminate the progress of an entry at any time. All rejected entries will be refunded.</w:t>
      </w:r>
    </w:p>
    <w:p w14:paraId="0A2354DD" w14:textId="22406B50" w:rsidR="0076415F" w:rsidRPr="006900FF" w:rsidRDefault="0076415F" w:rsidP="006900F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  <w:color w:val="000000" w:themeColor="text1"/>
        </w:rPr>
        <w:t>Entries must be submitted in the format of the template prepared for each award. For equity, material supplied superfluous to that requested will not be provided to judges.</w:t>
      </w:r>
    </w:p>
    <w:p w14:paraId="087B59F6" w14:textId="6139EF5F" w:rsidR="006900FF" w:rsidRDefault="006900F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br w:type="page"/>
      </w:r>
    </w:p>
    <w:p w14:paraId="06A10155" w14:textId="77777777" w:rsidR="0076415F" w:rsidRPr="006900FF" w:rsidRDefault="0076415F" w:rsidP="0076415F">
      <w:pPr>
        <w:spacing w:after="0" w:line="240" w:lineRule="auto"/>
        <w:rPr>
          <w:rFonts w:ascii="Avenir Next LT Pro" w:hAnsi="Avenir Next LT Pro"/>
        </w:rPr>
      </w:pPr>
    </w:p>
    <w:p w14:paraId="7F36E444" w14:textId="77777777" w:rsidR="0076415F" w:rsidRPr="006900FF" w:rsidRDefault="0076415F" w:rsidP="0076415F">
      <w:pPr>
        <w:pStyle w:val="ListParagraph"/>
        <w:numPr>
          <w:ilvl w:val="0"/>
          <w:numId w:val="34"/>
        </w:numPr>
        <w:contextualSpacing/>
        <w:rPr>
          <w:rFonts w:ascii="Avenir Next LT Pro" w:hAnsi="Avenir Next LT Pro"/>
          <w:b/>
          <w:bCs/>
        </w:rPr>
      </w:pPr>
      <w:r w:rsidRPr="006900FF">
        <w:rPr>
          <w:rFonts w:ascii="Avenir Next LT Pro" w:hAnsi="Avenir Next LT Pro"/>
          <w:b/>
          <w:bCs/>
        </w:rPr>
        <w:t>WARRANTS</w:t>
      </w:r>
    </w:p>
    <w:p w14:paraId="77E003DA" w14:textId="4B09AD7B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The nominated event/initiative/performance was delivered in the</w:t>
      </w:r>
      <w:r w:rsidRPr="00603E58">
        <w:rPr>
          <w:rFonts w:ascii="Avenir Next LT Pro" w:hAnsi="Avenir Next LT Pro"/>
        </w:rPr>
        <w:t xml:space="preserve"> period </w:t>
      </w:r>
      <w:r w:rsidR="00603E58" w:rsidRPr="00603E58">
        <w:rPr>
          <w:rFonts w:ascii="Avenir Next LT Pro" w:hAnsi="Avenir Next LT Pro"/>
        </w:rPr>
        <w:t>1/01/202</w:t>
      </w:r>
      <w:r w:rsidR="004551C9">
        <w:rPr>
          <w:rFonts w:ascii="Avenir Next LT Pro" w:hAnsi="Avenir Next LT Pro"/>
        </w:rPr>
        <w:t>4</w:t>
      </w:r>
      <w:r w:rsidRPr="00603E58">
        <w:rPr>
          <w:rFonts w:ascii="Avenir Next LT Pro" w:hAnsi="Avenir Next LT Pro"/>
        </w:rPr>
        <w:t xml:space="preserve"> to </w:t>
      </w:r>
      <w:r w:rsidR="00603E58" w:rsidRPr="00603E58">
        <w:rPr>
          <w:rFonts w:ascii="Avenir Next LT Pro" w:hAnsi="Avenir Next LT Pro"/>
        </w:rPr>
        <w:t>31/12/202</w:t>
      </w:r>
      <w:r w:rsidR="004551C9">
        <w:rPr>
          <w:rFonts w:ascii="Avenir Next LT Pro" w:hAnsi="Avenir Next LT Pro"/>
        </w:rPr>
        <w:t>4</w:t>
      </w:r>
      <w:r w:rsidRPr="00603E58">
        <w:rPr>
          <w:rFonts w:ascii="Avenir Next LT Pro" w:hAnsi="Avenir Next LT Pro"/>
        </w:rPr>
        <w:t xml:space="preserve"> – </w:t>
      </w:r>
      <w:r w:rsidRPr="006900FF">
        <w:rPr>
          <w:rFonts w:ascii="Avenir Next LT Pro" w:hAnsi="Avenir Next LT Pro"/>
        </w:rPr>
        <w:t>with exception applying to the Outstanding Contribution Award</w:t>
      </w:r>
      <w:r w:rsidR="00AD4759" w:rsidRPr="006900FF">
        <w:rPr>
          <w:rFonts w:ascii="Avenir Next LT Pro" w:hAnsi="Avenir Next LT Pro"/>
        </w:rPr>
        <w:t xml:space="preserve"> for which there is no exclusive period.</w:t>
      </w:r>
    </w:p>
    <w:p w14:paraId="6800CBD6" w14:textId="77777777" w:rsidR="0076415F" w:rsidRPr="006900FF" w:rsidRDefault="0076415F" w:rsidP="0076415F">
      <w:pPr>
        <w:pStyle w:val="ListParagraph"/>
        <w:numPr>
          <w:ilvl w:val="2"/>
          <w:numId w:val="34"/>
        </w:numPr>
        <w:ind w:left="1560" w:hanging="709"/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Events/initiatives/performances delivered outside of this period will not be considered.</w:t>
      </w:r>
    </w:p>
    <w:p w14:paraId="0198C483" w14:textId="2C66B2EC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Submitted materials (including images, photographs and/or video) are either owned by the entrant or sufficient rights for use have been </w:t>
      </w:r>
      <w:r w:rsidR="00E82561" w:rsidRPr="006900FF">
        <w:rPr>
          <w:rFonts w:ascii="Avenir Next LT Pro" w:hAnsi="Avenir Next LT Pro"/>
        </w:rPr>
        <w:t xml:space="preserve">granted </w:t>
      </w:r>
      <w:r w:rsidRPr="006900FF">
        <w:rPr>
          <w:rFonts w:ascii="Avenir Next LT Pro" w:hAnsi="Avenir Next LT Pro"/>
        </w:rPr>
        <w:t>where not owned.</w:t>
      </w:r>
    </w:p>
    <w:p w14:paraId="5CB77B0D" w14:textId="77777777" w:rsidR="0076415F" w:rsidRPr="006900FF" w:rsidRDefault="0076415F" w:rsidP="0076415F">
      <w:pPr>
        <w:pStyle w:val="ListParagraph"/>
        <w:numPr>
          <w:ilvl w:val="2"/>
          <w:numId w:val="34"/>
        </w:numPr>
        <w:ind w:left="1560" w:hanging="709"/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The entrant agrees to indemnify MEA against any loss or damage caused by breach of this warrant.</w:t>
      </w:r>
    </w:p>
    <w:p w14:paraId="05F89B09" w14:textId="2A035DEA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At the time of submitting the entry, the submitting organisation can meet </w:t>
      </w:r>
      <w:r w:rsidR="00A40B42" w:rsidRPr="006900FF">
        <w:rPr>
          <w:rFonts w:ascii="Avenir Next LT Pro" w:hAnsi="Avenir Next LT Pro"/>
        </w:rPr>
        <w:t>all</w:t>
      </w:r>
      <w:r w:rsidRPr="006900FF">
        <w:rPr>
          <w:rFonts w:ascii="Avenir Next LT Pro" w:hAnsi="Avenir Next LT Pro"/>
        </w:rPr>
        <w:t xml:space="preserve"> its financial obligations including payments to suppliers, the Australian Taxation Office and employee </w:t>
      </w:r>
      <w:r w:rsidR="00E82561" w:rsidRPr="006900FF">
        <w:rPr>
          <w:rFonts w:ascii="Avenir Next LT Pro" w:hAnsi="Avenir Next LT Pro"/>
        </w:rPr>
        <w:t>obligations</w:t>
      </w:r>
      <w:r w:rsidRPr="006900FF">
        <w:rPr>
          <w:rFonts w:ascii="Avenir Next LT Pro" w:hAnsi="Avenir Next LT Pro"/>
        </w:rPr>
        <w:t>.</w:t>
      </w:r>
      <w:r w:rsidR="000A2E64" w:rsidRPr="006900FF">
        <w:rPr>
          <w:rFonts w:ascii="Avenir Next LT Pro" w:hAnsi="Avenir Next LT Pro"/>
        </w:rPr>
        <w:t xml:space="preserve"> </w:t>
      </w:r>
      <w:r w:rsidRPr="006900FF">
        <w:rPr>
          <w:rFonts w:ascii="Avenir Next LT Pro" w:hAnsi="Avenir Next LT Pro"/>
        </w:rPr>
        <w:t>The entrant agrees to notify MEA should the situation change prior to State</w:t>
      </w:r>
      <w:r w:rsidR="00603E58">
        <w:rPr>
          <w:rFonts w:ascii="Avenir Next LT Pro" w:hAnsi="Avenir Next LT Pro"/>
        </w:rPr>
        <w:t>/Territory</w:t>
      </w:r>
      <w:r w:rsidRPr="006900FF">
        <w:rPr>
          <w:rFonts w:ascii="Avenir Next LT Pro" w:hAnsi="Avenir Next LT Pro"/>
        </w:rPr>
        <w:t xml:space="preserve"> and National Award presentations.</w:t>
      </w:r>
    </w:p>
    <w:p w14:paraId="2D606A22" w14:textId="67052EBE" w:rsidR="0076415F" w:rsidRPr="006900FF" w:rsidRDefault="00A40B42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In the case of co</w:t>
      </w:r>
      <w:r w:rsidR="000A2E64" w:rsidRPr="006900FF">
        <w:rPr>
          <w:rFonts w:ascii="Avenir Next LT Pro" w:hAnsi="Avenir Next LT Pro"/>
        </w:rPr>
        <w:t>mpany</w:t>
      </w:r>
      <w:r w:rsidRPr="006900FF">
        <w:rPr>
          <w:rFonts w:ascii="Avenir Next LT Pro" w:hAnsi="Avenir Next LT Pro"/>
        </w:rPr>
        <w:t xml:space="preserve"> awards, t</w:t>
      </w:r>
      <w:r w:rsidR="0076415F" w:rsidRPr="006900FF">
        <w:rPr>
          <w:rFonts w:ascii="Avenir Next LT Pro" w:hAnsi="Avenir Next LT Pro"/>
        </w:rPr>
        <w:t>he person submitting the entry is a</w:t>
      </w:r>
      <w:r w:rsidR="00E82561" w:rsidRPr="006900FF">
        <w:rPr>
          <w:rFonts w:ascii="Avenir Next LT Pro" w:hAnsi="Avenir Next LT Pro"/>
        </w:rPr>
        <w:t xml:space="preserve"> </w:t>
      </w:r>
      <w:r w:rsidR="0076415F" w:rsidRPr="006900FF">
        <w:rPr>
          <w:rFonts w:ascii="Avenir Next LT Pro" w:hAnsi="Avenir Next LT Pro"/>
        </w:rPr>
        <w:t>representative of the organisation</w:t>
      </w:r>
      <w:r w:rsidR="00E82561" w:rsidRPr="006900FF">
        <w:rPr>
          <w:rFonts w:ascii="Avenir Next LT Pro" w:hAnsi="Avenir Next LT Pro"/>
        </w:rPr>
        <w:t xml:space="preserve"> authorised to do so.</w:t>
      </w:r>
    </w:p>
    <w:p w14:paraId="66D4673A" w14:textId="3CA2AD05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All information in the submission is true, complete, and correct and if questioned can be successfully defended.</w:t>
      </w:r>
    </w:p>
    <w:p w14:paraId="7D8903D8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The nominated individual(s)/organisation(s) behave/operate consistent with MEA’s </w:t>
      </w:r>
      <w:hyperlink r:id="rId10" w:history="1">
        <w:r w:rsidRPr="006900FF">
          <w:rPr>
            <w:rStyle w:val="Hyperlink"/>
            <w:rFonts w:ascii="Avenir Next LT Pro" w:hAnsi="Avenir Next LT Pro"/>
          </w:rPr>
          <w:t>Code of Conduct</w:t>
        </w:r>
      </w:hyperlink>
      <w:r w:rsidRPr="006900FF">
        <w:rPr>
          <w:rFonts w:ascii="Avenir Next LT Pro" w:hAnsi="Avenir Next LT Pro"/>
        </w:rPr>
        <w:t>.</w:t>
      </w:r>
    </w:p>
    <w:p w14:paraId="28EA957B" w14:textId="77777777" w:rsidR="0076415F" w:rsidRPr="006900FF" w:rsidRDefault="0076415F" w:rsidP="0076415F">
      <w:pPr>
        <w:spacing w:after="0" w:line="240" w:lineRule="auto"/>
        <w:rPr>
          <w:rFonts w:ascii="Avenir Next LT Pro" w:hAnsi="Avenir Next LT Pro"/>
        </w:rPr>
      </w:pPr>
    </w:p>
    <w:p w14:paraId="4A7556DD" w14:textId="2A01ECC1" w:rsidR="0076415F" w:rsidRPr="006900FF" w:rsidRDefault="0076415F" w:rsidP="0076415F">
      <w:pPr>
        <w:pStyle w:val="ListParagraph"/>
        <w:numPr>
          <w:ilvl w:val="0"/>
          <w:numId w:val="34"/>
        </w:numPr>
        <w:contextualSpacing/>
        <w:rPr>
          <w:rFonts w:ascii="Avenir Next LT Pro" w:hAnsi="Avenir Next LT Pro"/>
          <w:b/>
          <w:bCs/>
        </w:rPr>
      </w:pPr>
      <w:r w:rsidRPr="006900FF">
        <w:rPr>
          <w:rFonts w:ascii="Avenir Next LT Pro" w:hAnsi="Avenir Next LT Pro"/>
          <w:b/>
          <w:bCs/>
        </w:rPr>
        <w:t xml:space="preserve">ENTRANT </w:t>
      </w:r>
      <w:r w:rsidR="00F6269A" w:rsidRPr="006900FF">
        <w:rPr>
          <w:rFonts w:ascii="Avenir Next LT Pro" w:hAnsi="Avenir Next LT Pro"/>
          <w:b/>
          <w:bCs/>
        </w:rPr>
        <w:t>RESPONSIBILITIES</w:t>
      </w:r>
    </w:p>
    <w:p w14:paraId="12924B8F" w14:textId="32A13A2A" w:rsidR="0076415F" w:rsidRPr="006900FF" w:rsidRDefault="000E715D" w:rsidP="0076415F">
      <w:pPr>
        <w:spacing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Award</w:t>
      </w:r>
      <w:r w:rsidR="00165968" w:rsidRPr="006900FF">
        <w:rPr>
          <w:rFonts w:ascii="Avenir Next LT Pro" w:hAnsi="Avenir Next LT Pro"/>
        </w:rPr>
        <w:t xml:space="preserve"> e</w:t>
      </w:r>
      <w:r w:rsidR="0076415F" w:rsidRPr="006900FF">
        <w:rPr>
          <w:rFonts w:ascii="Avenir Next LT Pro" w:hAnsi="Avenir Next LT Pro"/>
        </w:rPr>
        <w:t>ntrants are solely and entirely responsible for:</w:t>
      </w:r>
    </w:p>
    <w:p w14:paraId="11695650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Gaining familiarisation with the unique requirements and criteria of any award for which a submission is being made.</w:t>
      </w:r>
    </w:p>
    <w:p w14:paraId="1120F8BB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Ensuring submission is done for the correct award category.</w:t>
      </w:r>
    </w:p>
    <w:p w14:paraId="38F2E438" w14:textId="5EB0A223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Uploading of submissions and supporting </w:t>
      </w:r>
      <w:r w:rsidR="00943CC0" w:rsidRPr="006900FF">
        <w:rPr>
          <w:rFonts w:ascii="Avenir Next LT Pro" w:hAnsi="Avenir Next LT Pro"/>
        </w:rPr>
        <w:t>information and</w:t>
      </w:r>
      <w:r w:rsidRPr="006900FF">
        <w:rPr>
          <w:rFonts w:ascii="Avenir Next LT Pro" w:hAnsi="Avenir Next LT Pro"/>
        </w:rPr>
        <w:t xml:space="preserve"> doing so before</w:t>
      </w:r>
      <w:r w:rsidR="00165968" w:rsidRPr="006900FF">
        <w:rPr>
          <w:rFonts w:ascii="Avenir Next LT Pro" w:hAnsi="Avenir Next LT Pro"/>
        </w:rPr>
        <w:t xml:space="preserve"> the</w:t>
      </w:r>
      <w:r w:rsidRPr="006900FF">
        <w:rPr>
          <w:rFonts w:ascii="Avenir Next LT Pro" w:hAnsi="Avenir Next LT Pro"/>
        </w:rPr>
        <w:t xml:space="preserve"> closing date.</w:t>
      </w:r>
    </w:p>
    <w:p w14:paraId="5929FA5B" w14:textId="77777777" w:rsidR="0076415F" w:rsidRPr="006900FF" w:rsidRDefault="0076415F" w:rsidP="0076415F">
      <w:pPr>
        <w:spacing w:after="0" w:line="240" w:lineRule="auto"/>
        <w:rPr>
          <w:rFonts w:ascii="Avenir Next LT Pro" w:hAnsi="Avenir Next LT Pro"/>
        </w:rPr>
      </w:pPr>
    </w:p>
    <w:p w14:paraId="3A764FDF" w14:textId="77777777" w:rsidR="0076415F" w:rsidRPr="006900FF" w:rsidRDefault="0076415F" w:rsidP="0076415F">
      <w:pPr>
        <w:pStyle w:val="ListParagraph"/>
        <w:numPr>
          <w:ilvl w:val="0"/>
          <w:numId w:val="34"/>
        </w:numPr>
        <w:contextualSpacing/>
        <w:rPr>
          <w:rFonts w:ascii="Avenir Next LT Pro" w:hAnsi="Avenir Next LT Pro"/>
          <w:b/>
          <w:bCs/>
        </w:rPr>
      </w:pPr>
      <w:r w:rsidRPr="006900FF">
        <w:rPr>
          <w:rFonts w:ascii="Avenir Next LT Pro" w:hAnsi="Avenir Next LT Pro"/>
          <w:b/>
          <w:bCs/>
        </w:rPr>
        <w:t>JUDGING</w:t>
      </w:r>
    </w:p>
    <w:p w14:paraId="67E2FD8B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All entries are treated with the strictest confidence.</w:t>
      </w:r>
    </w:p>
    <w:p w14:paraId="0A25AE0B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Only entries that meet eligibility requirements will be put forward to the judging panel.</w:t>
      </w:r>
    </w:p>
    <w:p w14:paraId="629288BA" w14:textId="229E3B80" w:rsidR="0076415F" w:rsidRPr="006900FF" w:rsidRDefault="006E7382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The c</w:t>
      </w:r>
      <w:r w:rsidR="0076415F" w:rsidRPr="006900FF">
        <w:rPr>
          <w:rFonts w:ascii="Avenir Next LT Pro" w:hAnsi="Avenir Next LT Pro"/>
        </w:rPr>
        <w:t>onstitution of judging panels will be determined by MEA and remain confidential.</w:t>
      </w:r>
    </w:p>
    <w:p w14:paraId="2A943245" w14:textId="78A8FB11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Entry responses will only be </w:t>
      </w:r>
      <w:r w:rsidR="006E7382" w:rsidRPr="006900FF">
        <w:rPr>
          <w:rFonts w:ascii="Avenir Next LT Pro" w:hAnsi="Avenir Next LT Pro"/>
        </w:rPr>
        <w:t>review</w:t>
      </w:r>
      <w:r w:rsidR="00A40B42" w:rsidRPr="006900FF">
        <w:rPr>
          <w:rFonts w:ascii="Avenir Next LT Pro" w:hAnsi="Avenir Next LT Pro"/>
        </w:rPr>
        <w:t>ed</w:t>
      </w:r>
      <w:r w:rsidR="006E7382" w:rsidRPr="006900FF">
        <w:rPr>
          <w:rFonts w:ascii="Avenir Next LT Pro" w:hAnsi="Avenir Next LT Pro"/>
        </w:rPr>
        <w:t xml:space="preserve"> to the extent of </w:t>
      </w:r>
      <w:r w:rsidRPr="006900FF">
        <w:rPr>
          <w:rFonts w:ascii="Avenir Next LT Pro" w:hAnsi="Avenir Next LT Pro"/>
        </w:rPr>
        <w:t xml:space="preserve">advised word count limits. Content beyond those limits will be disregarded </w:t>
      </w:r>
      <w:r w:rsidR="00A40B42" w:rsidRPr="006900FF">
        <w:rPr>
          <w:rFonts w:ascii="Avenir Next LT Pro" w:hAnsi="Avenir Next LT Pro"/>
        </w:rPr>
        <w:t>when</w:t>
      </w:r>
      <w:r w:rsidRPr="006900FF">
        <w:rPr>
          <w:rFonts w:ascii="Avenir Next LT Pro" w:hAnsi="Avenir Next LT Pro"/>
        </w:rPr>
        <w:t xml:space="preserve"> </w:t>
      </w:r>
      <w:r w:rsidR="006E7382" w:rsidRPr="006900FF">
        <w:rPr>
          <w:rFonts w:ascii="Avenir Next LT Pro" w:hAnsi="Avenir Next LT Pro"/>
        </w:rPr>
        <w:t xml:space="preserve">making </w:t>
      </w:r>
      <w:r w:rsidRPr="006900FF">
        <w:rPr>
          <w:rFonts w:ascii="Avenir Next LT Pro" w:hAnsi="Avenir Next LT Pro"/>
        </w:rPr>
        <w:t>assessment.</w:t>
      </w:r>
    </w:p>
    <w:p w14:paraId="12594DB9" w14:textId="2ED08989" w:rsidR="0076415F" w:rsidRPr="006900FF" w:rsidRDefault="006E7382" w:rsidP="0076415F">
      <w:pPr>
        <w:pStyle w:val="ListParagraph"/>
        <w:numPr>
          <w:ilvl w:val="2"/>
          <w:numId w:val="34"/>
        </w:numPr>
        <w:ind w:left="1560" w:hanging="709"/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L</w:t>
      </w:r>
      <w:r w:rsidR="0076415F" w:rsidRPr="006900FF">
        <w:rPr>
          <w:rFonts w:ascii="Avenir Next LT Pro" w:hAnsi="Avenir Next LT Pro"/>
        </w:rPr>
        <w:t>inks embedded in tex</w:t>
      </w:r>
      <w:r w:rsidR="00C9420F">
        <w:rPr>
          <w:rFonts w:ascii="Avenir Next LT Pro" w:hAnsi="Avenir Next LT Pro"/>
        </w:rPr>
        <w:t xml:space="preserve">t </w:t>
      </w:r>
      <w:r w:rsidRPr="006900FF">
        <w:rPr>
          <w:rFonts w:ascii="Avenir Next LT Pro" w:hAnsi="Avenir Next LT Pro"/>
        </w:rPr>
        <w:t>will not be reviewed by judges.</w:t>
      </w:r>
    </w:p>
    <w:p w14:paraId="07075EB8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proofErr w:type="gramStart"/>
      <w:r w:rsidRPr="006900FF">
        <w:rPr>
          <w:rFonts w:ascii="Avenir Next LT Pro" w:hAnsi="Avenir Next LT Pro"/>
        </w:rPr>
        <w:t>In order to</w:t>
      </w:r>
      <w:proofErr w:type="gramEnd"/>
      <w:r w:rsidRPr="006900FF">
        <w:rPr>
          <w:rFonts w:ascii="Avenir Next LT Pro" w:hAnsi="Avenir Next LT Pro"/>
        </w:rPr>
        <w:t xml:space="preserve"> progress to finalist status, a submission must score a mark of 70% or higher.</w:t>
      </w:r>
    </w:p>
    <w:p w14:paraId="40C96846" w14:textId="77777777" w:rsidR="0076415F" w:rsidRPr="006900FF" w:rsidRDefault="0076415F" w:rsidP="0076415F">
      <w:pPr>
        <w:pStyle w:val="ListParagraph"/>
        <w:numPr>
          <w:ilvl w:val="2"/>
          <w:numId w:val="34"/>
        </w:numPr>
        <w:ind w:left="1560" w:hanging="709"/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No refund is entitled where failure to achieve a 70% score occurs.</w:t>
      </w:r>
    </w:p>
    <w:p w14:paraId="09B21E73" w14:textId="77777777" w:rsidR="0076415F" w:rsidRPr="006900FF" w:rsidRDefault="0076415F" w:rsidP="0076415F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All decisions and recommendations of judging panels are non-negotiable, binding and final. No correspondence will be entered into.</w:t>
      </w:r>
    </w:p>
    <w:p w14:paraId="1146CD2A" w14:textId="77777777" w:rsidR="0076415F" w:rsidRPr="006900FF" w:rsidRDefault="0076415F" w:rsidP="0076415F">
      <w:pPr>
        <w:spacing w:after="0" w:line="240" w:lineRule="auto"/>
        <w:rPr>
          <w:rFonts w:ascii="Avenir Next LT Pro" w:hAnsi="Avenir Next LT Pro"/>
        </w:rPr>
      </w:pPr>
    </w:p>
    <w:p w14:paraId="568B6500" w14:textId="77777777" w:rsidR="00C9420F" w:rsidRDefault="00C9420F">
      <w:pPr>
        <w:rPr>
          <w:rFonts w:ascii="Avenir Next LT Pro" w:hAnsi="Avenir Next LT Pro" w:cs="Calibri"/>
          <w:b/>
          <w:bCs/>
        </w:rPr>
      </w:pPr>
      <w:r>
        <w:rPr>
          <w:rFonts w:ascii="Avenir Next LT Pro" w:hAnsi="Avenir Next LT Pro"/>
          <w:b/>
          <w:bCs/>
        </w:rPr>
        <w:br w:type="page"/>
      </w:r>
    </w:p>
    <w:p w14:paraId="64397E40" w14:textId="11391947" w:rsidR="0076415F" w:rsidRPr="006900FF" w:rsidRDefault="0076415F" w:rsidP="0076415F">
      <w:pPr>
        <w:pStyle w:val="ListParagraph"/>
        <w:numPr>
          <w:ilvl w:val="0"/>
          <w:numId w:val="34"/>
        </w:numPr>
        <w:contextualSpacing/>
        <w:rPr>
          <w:rFonts w:ascii="Avenir Next LT Pro" w:hAnsi="Avenir Next LT Pro"/>
          <w:b/>
          <w:bCs/>
        </w:rPr>
      </w:pPr>
      <w:r w:rsidRPr="006900FF">
        <w:rPr>
          <w:rFonts w:ascii="Avenir Next LT Pro" w:hAnsi="Avenir Next LT Pro"/>
          <w:b/>
          <w:bCs/>
        </w:rPr>
        <w:lastRenderedPageBreak/>
        <w:t>PERMISSIONS</w:t>
      </w:r>
    </w:p>
    <w:p w14:paraId="0CAD4DB9" w14:textId="77777777" w:rsidR="0076415F" w:rsidRPr="006900FF" w:rsidRDefault="0076415F" w:rsidP="00943CC0">
      <w:pPr>
        <w:spacing w:after="0" w:line="240" w:lineRule="auto"/>
        <w:ind w:left="360"/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MEA is granted unencumbered permission and right to:</w:t>
      </w:r>
    </w:p>
    <w:p w14:paraId="6F8B57F8" w14:textId="022062F2" w:rsidR="0076415F" w:rsidRPr="006900FF" w:rsidRDefault="0076415F" w:rsidP="00943CC0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Use all </w:t>
      </w:r>
      <w:r w:rsidR="00223105" w:rsidRPr="006900FF">
        <w:rPr>
          <w:rFonts w:ascii="Avenir Next LT Pro" w:hAnsi="Avenir Next LT Pro"/>
        </w:rPr>
        <w:t xml:space="preserve">non-confidential </w:t>
      </w:r>
      <w:r w:rsidRPr="006900FF">
        <w:rPr>
          <w:rFonts w:ascii="Avenir Next LT Pro" w:hAnsi="Avenir Next LT Pro"/>
        </w:rPr>
        <w:t>material uploaded in an entry submission (including images, photographs and/or video) in any way to promote the</w:t>
      </w:r>
      <w:r w:rsidR="000A2E64" w:rsidRPr="006900FF">
        <w:rPr>
          <w:rFonts w:ascii="Avenir Next LT Pro" w:hAnsi="Avenir Next LT Pro"/>
        </w:rPr>
        <w:t xml:space="preserve"> </w:t>
      </w:r>
      <w:r w:rsidR="00E143F8">
        <w:rPr>
          <w:rFonts w:ascii="Avenir Next LT Pro" w:hAnsi="Avenir Next LT Pro"/>
        </w:rPr>
        <w:t>MEA National</w:t>
      </w:r>
      <w:r w:rsidR="00A40B42" w:rsidRPr="00C9420F">
        <w:rPr>
          <w:rFonts w:ascii="Avenir Next LT Pro" w:hAnsi="Avenir Next LT Pro"/>
        </w:rPr>
        <w:t xml:space="preserve"> Awards</w:t>
      </w:r>
      <w:r w:rsidR="00E143F8">
        <w:rPr>
          <w:rFonts w:ascii="Avenir Next LT Pro" w:hAnsi="Avenir Next LT Pro"/>
        </w:rPr>
        <w:t xml:space="preserve"> 2024</w:t>
      </w:r>
      <w:r w:rsidRPr="00C9420F">
        <w:rPr>
          <w:rFonts w:ascii="Avenir Next LT Pro" w:hAnsi="Avenir Next LT Pro"/>
        </w:rPr>
        <w:t xml:space="preserve"> </w:t>
      </w:r>
      <w:r w:rsidRPr="006900FF">
        <w:rPr>
          <w:rFonts w:ascii="Avenir Next LT Pro" w:hAnsi="Avenir Next LT Pro"/>
        </w:rPr>
        <w:t>including providing this material to third parties.</w:t>
      </w:r>
    </w:p>
    <w:p w14:paraId="4FBAB3E9" w14:textId="77777777" w:rsidR="0076415F" w:rsidRPr="006900FF" w:rsidRDefault="0076415F" w:rsidP="00943CC0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>Use the entrant’s name in media releases distributed announcing award winners.</w:t>
      </w:r>
    </w:p>
    <w:p w14:paraId="4894E45C" w14:textId="355A2D2F" w:rsidR="0076415F" w:rsidRPr="006900FF" w:rsidRDefault="0076415F" w:rsidP="00943CC0">
      <w:pPr>
        <w:pStyle w:val="ListParagraph"/>
        <w:numPr>
          <w:ilvl w:val="1"/>
          <w:numId w:val="34"/>
        </w:numPr>
        <w:contextualSpacing/>
        <w:rPr>
          <w:rFonts w:ascii="Avenir Next LT Pro" w:hAnsi="Avenir Next LT Pro"/>
        </w:rPr>
      </w:pPr>
      <w:r w:rsidRPr="006900FF">
        <w:rPr>
          <w:rFonts w:ascii="Avenir Next LT Pro" w:hAnsi="Avenir Next LT Pro"/>
        </w:rPr>
        <w:t xml:space="preserve">Share </w:t>
      </w:r>
      <w:proofErr w:type="gramStart"/>
      <w:r w:rsidRPr="006900FF">
        <w:rPr>
          <w:rFonts w:ascii="Avenir Next LT Pro" w:hAnsi="Avenir Next LT Pro"/>
        </w:rPr>
        <w:t>entrant</w:t>
      </w:r>
      <w:proofErr w:type="gramEnd"/>
      <w:r w:rsidRPr="006900FF">
        <w:rPr>
          <w:rFonts w:ascii="Avenir Next LT Pro" w:hAnsi="Avenir Next LT Pro"/>
        </w:rPr>
        <w:t xml:space="preserve"> contact details with</w:t>
      </w:r>
      <w:r w:rsidR="000A2E64" w:rsidRPr="00C9420F">
        <w:rPr>
          <w:rFonts w:ascii="Avenir Next LT Pro" w:hAnsi="Avenir Next LT Pro"/>
        </w:rPr>
        <w:t xml:space="preserve"> MEA</w:t>
      </w:r>
      <w:r w:rsidR="00E143F8">
        <w:rPr>
          <w:rFonts w:ascii="Avenir Next LT Pro" w:hAnsi="Avenir Next LT Pro"/>
        </w:rPr>
        <w:t xml:space="preserve"> National</w:t>
      </w:r>
      <w:r w:rsidR="00A40B42" w:rsidRPr="00C9420F">
        <w:rPr>
          <w:rFonts w:ascii="Avenir Next LT Pro" w:hAnsi="Avenir Next LT Pro"/>
        </w:rPr>
        <w:t xml:space="preserve"> Awards</w:t>
      </w:r>
      <w:r w:rsidR="00E143F8">
        <w:rPr>
          <w:rFonts w:ascii="Avenir Next LT Pro" w:hAnsi="Avenir Next LT Pro"/>
        </w:rPr>
        <w:t xml:space="preserve"> 2024</w:t>
      </w:r>
      <w:r w:rsidR="00A40B42" w:rsidRPr="00C9420F">
        <w:rPr>
          <w:rFonts w:ascii="Avenir Next LT Pro" w:hAnsi="Avenir Next LT Pro"/>
        </w:rPr>
        <w:t xml:space="preserve"> </w:t>
      </w:r>
      <w:r w:rsidRPr="006900FF">
        <w:rPr>
          <w:rFonts w:ascii="Avenir Next LT Pro" w:hAnsi="Avenir Next LT Pro"/>
        </w:rPr>
        <w:t>sponsors and partners.</w:t>
      </w:r>
    </w:p>
    <w:p w14:paraId="765D4AEE" w14:textId="38D6542B" w:rsidR="0076415F" w:rsidRPr="006900FF" w:rsidRDefault="0076415F" w:rsidP="00943CC0">
      <w:pPr>
        <w:spacing w:after="0" w:line="240" w:lineRule="auto"/>
        <w:jc w:val="both"/>
        <w:rPr>
          <w:rFonts w:ascii="Avenir Next LT Pro" w:hAnsi="Avenir Next LT Pro" w:cstheme="minorHAnsi"/>
          <w:b/>
          <w:bCs/>
        </w:rPr>
      </w:pPr>
    </w:p>
    <w:p w14:paraId="02B30B9F" w14:textId="2893BEF2" w:rsidR="002D1F41" w:rsidRPr="006900FF" w:rsidRDefault="002D1F41" w:rsidP="00EA2F2A">
      <w:pPr>
        <w:spacing w:after="0" w:line="240" w:lineRule="auto"/>
        <w:jc w:val="both"/>
        <w:rPr>
          <w:rFonts w:ascii="Avenir Next LT Pro" w:hAnsi="Avenir Next LT Pro" w:cstheme="minorHAnsi"/>
          <w:b/>
          <w:bCs/>
          <w:color w:val="FF0000"/>
        </w:rPr>
      </w:pPr>
      <w:r w:rsidRPr="00C9420F">
        <w:rPr>
          <w:rFonts w:ascii="Avenir Next LT Pro" w:hAnsi="Avenir Next LT Pro" w:cstheme="minorHAnsi"/>
          <w:b/>
          <w:bCs/>
        </w:rPr>
        <w:t>Effective:</w:t>
      </w:r>
      <w:bookmarkEnd w:id="2"/>
      <w:r w:rsidR="003377A1">
        <w:rPr>
          <w:rFonts w:ascii="Avenir Next LT Pro" w:hAnsi="Avenir Next LT Pro" w:cstheme="minorHAnsi"/>
          <w:b/>
          <w:bCs/>
        </w:rPr>
        <w:t xml:space="preserve"> </w:t>
      </w:r>
      <w:r w:rsidR="00F453A8">
        <w:rPr>
          <w:rFonts w:ascii="Avenir Next LT Pro" w:hAnsi="Avenir Next LT Pro" w:cstheme="minorHAnsi"/>
          <w:b/>
          <w:bCs/>
        </w:rPr>
        <w:t>5</w:t>
      </w:r>
      <w:r w:rsidR="00F453A8">
        <w:rPr>
          <w:rFonts w:ascii="Avenir Next LT Pro" w:hAnsi="Avenir Next LT Pro" w:cstheme="minorHAnsi"/>
          <w:b/>
          <w:bCs/>
          <w:vertAlign w:val="superscript"/>
        </w:rPr>
        <w:t xml:space="preserve"> </w:t>
      </w:r>
      <w:r w:rsidR="00F453A8">
        <w:rPr>
          <w:rFonts w:ascii="Avenir Next LT Pro" w:hAnsi="Avenir Next LT Pro" w:cstheme="minorHAnsi"/>
        </w:rPr>
        <w:t>December 2024</w:t>
      </w:r>
    </w:p>
    <w:sectPr w:rsidR="002D1F41" w:rsidRPr="006900FF" w:rsidSect="00816E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C12C" w14:textId="77777777" w:rsidR="009D0316" w:rsidRDefault="009D0316" w:rsidP="00D333CC">
      <w:pPr>
        <w:spacing w:after="0" w:line="240" w:lineRule="auto"/>
      </w:pPr>
      <w:r>
        <w:separator/>
      </w:r>
    </w:p>
  </w:endnote>
  <w:endnote w:type="continuationSeparator" w:id="0">
    <w:p w14:paraId="5BC8E632" w14:textId="77777777" w:rsidR="009D0316" w:rsidRDefault="009D0316" w:rsidP="00D3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B204" w14:textId="77777777" w:rsidR="00AF50A8" w:rsidRDefault="00AF5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A9CFB" w14:textId="7619BDF4" w:rsidR="00AF50A8" w:rsidRDefault="00AF50A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ED652" wp14:editId="414B26A6">
          <wp:simplePos x="0" y="0"/>
          <wp:positionH relativeFrom="page">
            <wp:align>right</wp:align>
          </wp:positionH>
          <wp:positionV relativeFrom="paragraph">
            <wp:posOffset>-967740</wp:posOffset>
          </wp:positionV>
          <wp:extent cx="7743825" cy="1118870"/>
          <wp:effectExtent l="0" t="0" r="9525" b="5080"/>
          <wp:wrapNone/>
          <wp:docPr id="21029877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9766" w14:textId="77777777" w:rsidR="00AF50A8" w:rsidRDefault="00AF5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90B3C" w14:textId="77777777" w:rsidR="009D0316" w:rsidRDefault="009D0316" w:rsidP="00D333CC">
      <w:pPr>
        <w:spacing w:after="0" w:line="240" w:lineRule="auto"/>
      </w:pPr>
      <w:r>
        <w:separator/>
      </w:r>
    </w:p>
  </w:footnote>
  <w:footnote w:type="continuationSeparator" w:id="0">
    <w:p w14:paraId="18FBFBF9" w14:textId="77777777" w:rsidR="009D0316" w:rsidRDefault="009D0316" w:rsidP="00D3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74FF9" w14:textId="77777777" w:rsidR="00AF50A8" w:rsidRDefault="00AF5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AE4B" w14:textId="10C1CF17" w:rsidR="00D333CC" w:rsidRDefault="00AF50A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2EA25" wp14:editId="29ACE0A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056880" cy="1538605"/>
          <wp:effectExtent l="0" t="0" r="1270" b="4445"/>
          <wp:wrapTopAndBottom/>
          <wp:docPr id="8260135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880" cy="153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19CB" w14:textId="77777777" w:rsidR="00AF50A8" w:rsidRDefault="00AF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0FF8"/>
    <w:multiLevelType w:val="hybridMultilevel"/>
    <w:tmpl w:val="8A4AB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7A5"/>
    <w:multiLevelType w:val="hybridMultilevel"/>
    <w:tmpl w:val="9F16A84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17165"/>
    <w:multiLevelType w:val="hybridMultilevel"/>
    <w:tmpl w:val="C4F0D7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64C73"/>
    <w:multiLevelType w:val="hybridMultilevel"/>
    <w:tmpl w:val="184EC26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31C2"/>
    <w:multiLevelType w:val="hybridMultilevel"/>
    <w:tmpl w:val="1DD490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E3F1D"/>
    <w:multiLevelType w:val="hybridMultilevel"/>
    <w:tmpl w:val="EC6444BE"/>
    <w:lvl w:ilvl="0" w:tplc="0C09000F">
      <w:start w:val="1"/>
      <w:numFmt w:val="decimal"/>
      <w:lvlText w:val="%1."/>
      <w:lvlJc w:val="left"/>
      <w:pPr>
        <w:ind w:left="774" w:hanging="360"/>
      </w:p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B6F1707"/>
    <w:multiLevelType w:val="hybridMultilevel"/>
    <w:tmpl w:val="1BE6C8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C26E9"/>
    <w:multiLevelType w:val="hybridMultilevel"/>
    <w:tmpl w:val="24AC64A2"/>
    <w:lvl w:ilvl="0" w:tplc="1FB0F6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23C7F32"/>
    <w:multiLevelType w:val="hybridMultilevel"/>
    <w:tmpl w:val="D1F2DFF4"/>
    <w:lvl w:ilvl="0" w:tplc="1F9E6B6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928F7"/>
    <w:multiLevelType w:val="hybridMultilevel"/>
    <w:tmpl w:val="8E828962"/>
    <w:lvl w:ilvl="0" w:tplc="140A1C7A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B42B0A"/>
    <w:multiLevelType w:val="hybridMultilevel"/>
    <w:tmpl w:val="A27AA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53416"/>
    <w:multiLevelType w:val="multilevel"/>
    <w:tmpl w:val="94703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2302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152FBD"/>
    <w:multiLevelType w:val="hybridMultilevel"/>
    <w:tmpl w:val="37564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56F9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345DB"/>
    <w:multiLevelType w:val="hybridMultilevel"/>
    <w:tmpl w:val="840670AE"/>
    <w:lvl w:ilvl="0" w:tplc="396C49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5F01F8"/>
    <w:multiLevelType w:val="hybridMultilevel"/>
    <w:tmpl w:val="66F078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30ED"/>
    <w:multiLevelType w:val="hybridMultilevel"/>
    <w:tmpl w:val="6B38DEE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4B8F"/>
    <w:multiLevelType w:val="hybridMultilevel"/>
    <w:tmpl w:val="98A0C9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C59D1"/>
    <w:multiLevelType w:val="hybridMultilevel"/>
    <w:tmpl w:val="F3BAB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64CD8"/>
    <w:multiLevelType w:val="hybridMultilevel"/>
    <w:tmpl w:val="75A6C00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C04813"/>
    <w:multiLevelType w:val="hybridMultilevel"/>
    <w:tmpl w:val="63AA09C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F710FC"/>
    <w:multiLevelType w:val="hybridMultilevel"/>
    <w:tmpl w:val="AC76D66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34E5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807196"/>
    <w:multiLevelType w:val="hybridMultilevel"/>
    <w:tmpl w:val="A5DC8A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75374"/>
    <w:multiLevelType w:val="hybridMultilevel"/>
    <w:tmpl w:val="AEAC6B3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2B16BF4"/>
    <w:multiLevelType w:val="hybridMultilevel"/>
    <w:tmpl w:val="914C89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F60"/>
    <w:multiLevelType w:val="hybridMultilevel"/>
    <w:tmpl w:val="18E08B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63014"/>
    <w:multiLevelType w:val="hybridMultilevel"/>
    <w:tmpl w:val="4F7CC5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541FC"/>
    <w:multiLevelType w:val="hybridMultilevel"/>
    <w:tmpl w:val="484AA8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619E4"/>
    <w:multiLevelType w:val="hybridMultilevel"/>
    <w:tmpl w:val="CADE35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14C4D"/>
    <w:multiLevelType w:val="hybridMultilevel"/>
    <w:tmpl w:val="EAE03F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E2B3F"/>
    <w:multiLevelType w:val="hybridMultilevel"/>
    <w:tmpl w:val="5EE87BF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B03DA"/>
    <w:multiLevelType w:val="hybridMultilevel"/>
    <w:tmpl w:val="60028B0C"/>
    <w:lvl w:ilvl="0" w:tplc="CD94615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9801">
    <w:abstractNumId w:val="7"/>
  </w:num>
  <w:num w:numId="2" w16cid:durableId="1638947905">
    <w:abstractNumId w:val="25"/>
  </w:num>
  <w:num w:numId="3" w16cid:durableId="1575583429">
    <w:abstractNumId w:val="9"/>
  </w:num>
  <w:num w:numId="4" w16cid:durableId="1526406954">
    <w:abstractNumId w:val="17"/>
  </w:num>
  <w:num w:numId="5" w16cid:durableId="1895434420">
    <w:abstractNumId w:val="2"/>
  </w:num>
  <w:num w:numId="6" w16cid:durableId="502551085">
    <w:abstractNumId w:val="19"/>
  </w:num>
  <w:num w:numId="7" w16cid:durableId="552273636">
    <w:abstractNumId w:val="13"/>
  </w:num>
  <w:num w:numId="8" w16cid:durableId="18362713">
    <w:abstractNumId w:val="29"/>
  </w:num>
  <w:num w:numId="9" w16cid:durableId="2073624894">
    <w:abstractNumId w:val="18"/>
  </w:num>
  <w:num w:numId="10" w16cid:durableId="1702317798">
    <w:abstractNumId w:val="6"/>
  </w:num>
  <w:num w:numId="11" w16cid:durableId="1317881419">
    <w:abstractNumId w:val="31"/>
  </w:num>
  <w:num w:numId="12" w16cid:durableId="154225030">
    <w:abstractNumId w:val="26"/>
  </w:num>
  <w:num w:numId="13" w16cid:durableId="1098449746">
    <w:abstractNumId w:val="1"/>
  </w:num>
  <w:num w:numId="14" w16cid:durableId="1317760766">
    <w:abstractNumId w:val="22"/>
  </w:num>
  <w:num w:numId="15" w16cid:durableId="2022200741">
    <w:abstractNumId w:val="21"/>
  </w:num>
  <w:num w:numId="16" w16cid:durableId="1656379130">
    <w:abstractNumId w:val="3"/>
  </w:num>
  <w:num w:numId="17" w16cid:durableId="101920415">
    <w:abstractNumId w:val="15"/>
  </w:num>
  <w:num w:numId="18" w16cid:durableId="679509672">
    <w:abstractNumId w:val="20"/>
  </w:num>
  <w:num w:numId="19" w16cid:durableId="1544559468">
    <w:abstractNumId w:val="8"/>
  </w:num>
  <w:num w:numId="20" w16cid:durableId="540481423">
    <w:abstractNumId w:val="33"/>
  </w:num>
  <w:num w:numId="21" w16cid:durableId="1662350484">
    <w:abstractNumId w:val="5"/>
  </w:num>
  <w:num w:numId="22" w16cid:durableId="1899894817">
    <w:abstractNumId w:val="30"/>
  </w:num>
  <w:num w:numId="23" w16cid:durableId="2122146489">
    <w:abstractNumId w:val="10"/>
  </w:num>
  <w:num w:numId="24" w16cid:durableId="871966265">
    <w:abstractNumId w:val="0"/>
  </w:num>
  <w:num w:numId="25" w16cid:durableId="338318143">
    <w:abstractNumId w:val="27"/>
  </w:num>
  <w:num w:numId="26" w16cid:durableId="1156654391">
    <w:abstractNumId w:val="28"/>
  </w:num>
  <w:num w:numId="27" w16cid:durableId="274362400">
    <w:abstractNumId w:val="16"/>
  </w:num>
  <w:num w:numId="28" w16cid:durableId="1127355735">
    <w:abstractNumId w:val="24"/>
  </w:num>
  <w:num w:numId="29" w16cid:durableId="2100591685">
    <w:abstractNumId w:val="32"/>
  </w:num>
  <w:num w:numId="30" w16cid:durableId="329338508">
    <w:abstractNumId w:val="4"/>
  </w:num>
  <w:num w:numId="31" w16cid:durableId="1789274349">
    <w:abstractNumId w:val="14"/>
  </w:num>
  <w:num w:numId="32" w16cid:durableId="919369701">
    <w:abstractNumId w:val="23"/>
  </w:num>
  <w:num w:numId="33" w16cid:durableId="1354763188">
    <w:abstractNumId w:val="12"/>
  </w:num>
  <w:num w:numId="34" w16cid:durableId="2083601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D7"/>
    <w:rsid w:val="00024549"/>
    <w:rsid w:val="000474EF"/>
    <w:rsid w:val="00050899"/>
    <w:rsid w:val="00056692"/>
    <w:rsid w:val="000757E8"/>
    <w:rsid w:val="00092B7D"/>
    <w:rsid w:val="00095B56"/>
    <w:rsid w:val="000A2E64"/>
    <w:rsid w:val="000A49DA"/>
    <w:rsid w:val="000B53AA"/>
    <w:rsid w:val="000E715D"/>
    <w:rsid w:val="000F220D"/>
    <w:rsid w:val="000F6F63"/>
    <w:rsid w:val="00112A3D"/>
    <w:rsid w:val="0012788A"/>
    <w:rsid w:val="00145D9B"/>
    <w:rsid w:val="001628BA"/>
    <w:rsid w:val="00165968"/>
    <w:rsid w:val="001745B9"/>
    <w:rsid w:val="001C4FE2"/>
    <w:rsid w:val="002067E7"/>
    <w:rsid w:val="00211723"/>
    <w:rsid w:val="00223105"/>
    <w:rsid w:val="00243621"/>
    <w:rsid w:val="0025599A"/>
    <w:rsid w:val="002748A0"/>
    <w:rsid w:val="0028228F"/>
    <w:rsid w:val="002B45AB"/>
    <w:rsid w:val="002D0246"/>
    <w:rsid w:val="002D1F41"/>
    <w:rsid w:val="002E353D"/>
    <w:rsid w:val="002F7D4C"/>
    <w:rsid w:val="00304FEA"/>
    <w:rsid w:val="003156E1"/>
    <w:rsid w:val="00320122"/>
    <w:rsid w:val="003268F1"/>
    <w:rsid w:val="00335DB4"/>
    <w:rsid w:val="003377A1"/>
    <w:rsid w:val="00355123"/>
    <w:rsid w:val="003B080E"/>
    <w:rsid w:val="003B2FE3"/>
    <w:rsid w:val="003B3560"/>
    <w:rsid w:val="003B6C83"/>
    <w:rsid w:val="003C5245"/>
    <w:rsid w:val="00403512"/>
    <w:rsid w:val="004120FF"/>
    <w:rsid w:val="0041616C"/>
    <w:rsid w:val="004551C9"/>
    <w:rsid w:val="004639F3"/>
    <w:rsid w:val="0047400A"/>
    <w:rsid w:val="00491C33"/>
    <w:rsid w:val="004B247E"/>
    <w:rsid w:val="004B27CF"/>
    <w:rsid w:val="004B569A"/>
    <w:rsid w:val="004C2457"/>
    <w:rsid w:val="004C77E0"/>
    <w:rsid w:val="004F6B29"/>
    <w:rsid w:val="005041A8"/>
    <w:rsid w:val="00505E33"/>
    <w:rsid w:val="00573CBC"/>
    <w:rsid w:val="00577011"/>
    <w:rsid w:val="00597EE6"/>
    <w:rsid w:val="005A1161"/>
    <w:rsid w:val="005B2C65"/>
    <w:rsid w:val="005B3B4C"/>
    <w:rsid w:val="005B485B"/>
    <w:rsid w:val="005B7B29"/>
    <w:rsid w:val="005D7BD7"/>
    <w:rsid w:val="00603E58"/>
    <w:rsid w:val="00670046"/>
    <w:rsid w:val="006900FF"/>
    <w:rsid w:val="00690C3D"/>
    <w:rsid w:val="00695331"/>
    <w:rsid w:val="006B6707"/>
    <w:rsid w:val="006E7382"/>
    <w:rsid w:val="00751765"/>
    <w:rsid w:val="0075594E"/>
    <w:rsid w:val="0075772F"/>
    <w:rsid w:val="0076415F"/>
    <w:rsid w:val="00765A38"/>
    <w:rsid w:val="007913DB"/>
    <w:rsid w:val="007A0AA9"/>
    <w:rsid w:val="007B1658"/>
    <w:rsid w:val="007B17F5"/>
    <w:rsid w:val="007B4B7A"/>
    <w:rsid w:val="007B6A52"/>
    <w:rsid w:val="007D0E68"/>
    <w:rsid w:val="007F7557"/>
    <w:rsid w:val="00801111"/>
    <w:rsid w:val="00816EF1"/>
    <w:rsid w:val="00856848"/>
    <w:rsid w:val="00862CBF"/>
    <w:rsid w:val="00865474"/>
    <w:rsid w:val="00906CCE"/>
    <w:rsid w:val="009246E8"/>
    <w:rsid w:val="00925F08"/>
    <w:rsid w:val="009306E1"/>
    <w:rsid w:val="00937FB2"/>
    <w:rsid w:val="00943CC0"/>
    <w:rsid w:val="009A4AF1"/>
    <w:rsid w:val="009C335D"/>
    <w:rsid w:val="009D0316"/>
    <w:rsid w:val="009E5F85"/>
    <w:rsid w:val="009E6FC6"/>
    <w:rsid w:val="00A22D3F"/>
    <w:rsid w:val="00A369BA"/>
    <w:rsid w:val="00A37098"/>
    <w:rsid w:val="00A37B18"/>
    <w:rsid w:val="00A40B42"/>
    <w:rsid w:val="00A450E1"/>
    <w:rsid w:val="00A46F56"/>
    <w:rsid w:val="00A548BC"/>
    <w:rsid w:val="00A61690"/>
    <w:rsid w:val="00A675C6"/>
    <w:rsid w:val="00A93DBA"/>
    <w:rsid w:val="00AA4C45"/>
    <w:rsid w:val="00AA73BB"/>
    <w:rsid w:val="00AC1C9B"/>
    <w:rsid w:val="00AC508F"/>
    <w:rsid w:val="00AD4759"/>
    <w:rsid w:val="00AF50A8"/>
    <w:rsid w:val="00B353E5"/>
    <w:rsid w:val="00B545D7"/>
    <w:rsid w:val="00B63DA8"/>
    <w:rsid w:val="00B751FB"/>
    <w:rsid w:val="00B92A51"/>
    <w:rsid w:val="00BA49B8"/>
    <w:rsid w:val="00BC45EC"/>
    <w:rsid w:val="00BC658A"/>
    <w:rsid w:val="00BF3107"/>
    <w:rsid w:val="00BF3786"/>
    <w:rsid w:val="00C075D2"/>
    <w:rsid w:val="00C348FA"/>
    <w:rsid w:val="00C60509"/>
    <w:rsid w:val="00C616B9"/>
    <w:rsid w:val="00C85CE2"/>
    <w:rsid w:val="00C9420F"/>
    <w:rsid w:val="00C945EF"/>
    <w:rsid w:val="00CC02A2"/>
    <w:rsid w:val="00CC159E"/>
    <w:rsid w:val="00CE5D88"/>
    <w:rsid w:val="00CF68B3"/>
    <w:rsid w:val="00D333CC"/>
    <w:rsid w:val="00D71ED0"/>
    <w:rsid w:val="00D8257C"/>
    <w:rsid w:val="00D9117B"/>
    <w:rsid w:val="00DA1E8C"/>
    <w:rsid w:val="00DA72BD"/>
    <w:rsid w:val="00DE4506"/>
    <w:rsid w:val="00E143F8"/>
    <w:rsid w:val="00E400F2"/>
    <w:rsid w:val="00E61420"/>
    <w:rsid w:val="00E67A3B"/>
    <w:rsid w:val="00E70E72"/>
    <w:rsid w:val="00E82561"/>
    <w:rsid w:val="00EA2F2A"/>
    <w:rsid w:val="00EB115A"/>
    <w:rsid w:val="00EB53AF"/>
    <w:rsid w:val="00EC66E4"/>
    <w:rsid w:val="00EC6DF1"/>
    <w:rsid w:val="00ED5B35"/>
    <w:rsid w:val="00EF7354"/>
    <w:rsid w:val="00F03214"/>
    <w:rsid w:val="00F177F2"/>
    <w:rsid w:val="00F243B8"/>
    <w:rsid w:val="00F27A57"/>
    <w:rsid w:val="00F30840"/>
    <w:rsid w:val="00F453A8"/>
    <w:rsid w:val="00F6269A"/>
    <w:rsid w:val="00F9388D"/>
    <w:rsid w:val="00F96EE8"/>
    <w:rsid w:val="00FA1288"/>
    <w:rsid w:val="00FB3504"/>
    <w:rsid w:val="00FB5406"/>
    <w:rsid w:val="00FD6EF7"/>
    <w:rsid w:val="00FE0E38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02C07"/>
  <w15:chartTrackingRefBased/>
  <w15:docId w15:val="{2BA86F33-DC04-41C4-A73E-039378FF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CC"/>
  </w:style>
  <w:style w:type="paragraph" w:styleId="Footer">
    <w:name w:val="footer"/>
    <w:basedOn w:val="Normal"/>
    <w:link w:val="FooterChar"/>
    <w:uiPriority w:val="99"/>
    <w:unhideWhenUsed/>
    <w:rsid w:val="00D3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CC"/>
  </w:style>
  <w:style w:type="paragraph" w:styleId="ListParagraph">
    <w:name w:val="List Paragraph"/>
    <w:basedOn w:val="Normal"/>
    <w:uiPriority w:val="34"/>
    <w:qFormat/>
    <w:rsid w:val="00056692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E6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69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eetingsevents.com.au/sites/default/files/uploaded-content/website-content/mea_web_pdf_code_of_conduc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fc7f0-b1c2-49b3-a88b-3834cbe2c619">
      <Terms xmlns="http://schemas.microsoft.com/office/infopath/2007/PartnerControls"/>
    </lcf76f155ced4ddcb4097134ff3c332f>
    <TaxCatchAll xmlns="0dfe38fa-d657-4cc0-baa4-a9920b5868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C1A1360F40A419803630991CDFD6F" ma:contentTypeVersion="18" ma:contentTypeDescription="Create a new document." ma:contentTypeScope="" ma:versionID="090bbeab809fa2078c9667157273d4c8">
  <xsd:schema xmlns:xsd="http://www.w3.org/2001/XMLSchema" xmlns:xs="http://www.w3.org/2001/XMLSchema" xmlns:p="http://schemas.microsoft.com/office/2006/metadata/properties" xmlns:ns2="83ffc7f0-b1c2-49b3-a88b-3834cbe2c619" xmlns:ns3="0dfe38fa-d657-4cc0-baa4-a9920b586835" targetNamespace="http://schemas.microsoft.com/office/2006/metadata/properties" ma:root="true" ma:fieldsID="d80f60aff581c6c12ae42eae13a48754" ns2:_="" ns3:_="">
    <xsd:import namespace="83ffc7f0-b1c2-49b3-a88b-3834cbe2c619"/>
    <xsd:import namespace="0dfe38fa-d657-4cc0-baa4-a9920b586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c7f0-b1c2-49b3-a88b-3834cbe2c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cf266-6939-436b-b30f-88fee7ce0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e38fa-d657-4cc0-baa4-a9920b586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89665a-63d8-4436-b485-97878d1f84fc}" ma:internalName="TaxCatchAll" ma:showField="CatchAllData" ma:web="0dfe38fa-d657-4cc0-baa4-a9920b586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F7379-B9BC-43EA-BE0B-593A206C8D44}">
  <ds:schemaRefs>
    <ds:schemaRef ds:uri="http://schemas.microsoft.com/office/2006/metadata/properties"/>
    <ds:schemaRef ds:uri="http://schemas.microsoft.com/office/infopath/2007/PartnerControls"/>
    <ds:schemaRef ds:uri="83ffc7f0-b1c2-49b3-a88b-3834cbe2c619"/>
    <ds:schemaRef ds:uri="0dfe38fa-d657-4cc0-baa4-a9920b586835"/>
  </ds:schemaRefs>
</ds:datastoreItem>
</file>

<file path=customXml/itemProps2.xml><?xml version="1.0" encoding="utf-8"?>
<ds:datastoreItem xmlns:ds="http://schemas.openxmlformats.org/officeDocument/2006/customXml" ds:itemID="{AEABB44A-FC4C-4188-90CA-7287D5CE2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6A2D2-AA92-4E24-BD74-96D30969C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fc7f0-b1c2-49b3-a88b-3834cbe2c619"/>
    <ds:schemaRef ds:uri="0dfe38fa-d657-4cc0-baa4-a9920b586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Watson</dc:creator>
  <cp:keywords/>
  <dc:description/>
  <cp:lastModifiedBy>Emmanuel Manalad</cp:lastModifiedBy>
  <cp:revision>2</cp:revision>
  <cp:lastPrinted>2022-10-31T05:15:00Z</cp:lastPrinted>
  <dcterms:created xsi:type="dcterms:W3CDTF">2024-12-04T22:55:00Z</dcterms:created>
  <dcterms:modified xsi:type="dcterms:W3CDTF">2024-12-04T22:55:00Z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0x0101005B6C1A1360F40A419803630991CDFD6F</vt:lpwstr>
  </property>
  <property fmtid="{D5CDD505-2E9C-101B-9397-08002B2CF9AE}" pid="3" name="MediaServiceImageTags">
    <vt:lpwstr/>
  </property>
  <property fmtid="{D5CDD505-2E9C-101B-9397-08002B2CF9AE}" pid="4" name="GrammarlyDocumentId">
    <vt:lpwstr>ba20dfc3e6efc0e426ca409d62a5a35881020dfc8dae9a2d8056ea0a3bf2e813</vt:lpwstr>
  </property>
</Properties>
</file>