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3.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4.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1E3AE" w14:textId="77777777" w:rsidR="001F43ED" w:rsidRDefault="001F43ED" w:rsidP="00620BBC">
      <w:pPr>
        <w:pStyle w:val="NoSpacing"/>
        <w:spacing w:after="120"/>
        <w:rPr>
          <w:color w:val="4472C4"/>
        </w:rPr>
      </w:pPr>
    </w:p>
    <w:p w14:paraId="7D587B0E" w14:textId="77777777" w:rsidR="00467450" w:rsidRDefault="00467450" w:rsidP="00620BBC">
      <w:pPr>
        <w:pStyle w:val="NoSpacing"/>
        <w:spacing w:after="120"/>
        <w:rPr>
          <w:color w:val="4472C4"/>
        </w:rPr>
      </w:pPr>
    </w:p>
    <w:p w14:paraId="2C61355C" w14:textId="77777777" w:rsidR="00467450" w:rsidRDefault="00467450" w:rsidP="00620BBC">
      <w:pPr>
        <w:pStyle w:val="NoSpacing"/>
        <w:spacing w:after="120"/>
        <w:rPr>
          <w:color w:val="4472C4"/>
        </w:rPr>
      </w:pPr>
    </w:p>
    <w:p w14:paraId="0D8F655B" w14:textId="77777777" w:rsidR="00467450" w:rsidRDefault="00467450" w:rsidP="00620BBC">
      <w:pPr>
        <w:pStyle w:val="NoSpacing"/>
        <w:spacing w:after="120"/>
        <w:rPr>
          <w:color w:val="4472C4"/>
        </w:rPr>
      </w:pPr>
    </w:p>
    <w:p w14:paraId="38F75774" w14:textId="77777777" w:rsidR="00467450" w:rsidRDefault="00467450" w:rsidP="00620BBC">
      <w:pPr>
        <w:pStyle w:val="NoSpacing"/>
        <w:spacing w:after="120"/>
        <w:rPr>
          <w:color w:val="4472C4"/>
        </w:rPr>
      </w:pPr>
    </w:p>
    <w:p w14:paraId="2F195B78" w14:textId="77777777" w:rsidR="00467450" w:rsidRDefault="00467450" w:rsidP="00620BBC">
      <w:pPr>
        <w:pStyle w:val="NoSpacing"/>
        <w:spacing w:after="120"/>
        <w:rPr>
          <w:color w:val="4472C4"/>
        </w:rPr>
      </w:pPr>
    </w:p>
    <w:p w14:paraId="21C11F98" w14:textId="77777777" w:rsidR="00467450" w:rsidRDefault="00467450" w:rsidP="00620BBC">
      <w:pPr>
        <w:pStyle w:val="NoSpacing"/>
        <w:spacing w:after="120"/>
        <w:rPr>
          <w:color w:val="4472C4"/>
        </w:rPr>
      </w:pPr>
    </w:p>
    <w:p w14:paraId="70B6A6D1" w14:textId="77777777" w:rsidR="00467450" w:rsidRDefault="00467450" w:rsidP="00620BBC">
      <w:pPr>
        <w:pStyle w:val="NoSpacing"/>
        <w:spacing w:after="120"/>
        <w:rPr>
          <w:color w:val="4472C4"/>
        </w:rPr>
      </w:pPr>
    </w:p>
    <w:p w14:paraId="3DC440F7" w14:textId="77777777" w:rsidR="00467450" w:rsidRPr="00225753" w:rsidRDefault="00467450" w:rsidP="00620BBC">
      <w:pPr>
        <w:pStyle w:val="NoSpacing"/>
        <w:spacing w:after="120"/>
        <w:rPr>
          <w:color w:val="4472C4"/>
        </w:rPr>
      </w:pPr>
    </w:p>
    <w:p w14:paraId="407849D3" w14:textId="77777777" w:rsidR="001F43ED" w:rsidRPr="00225753" w:rsidRDefault="000B17BF" w:rsidP="00620BBC">
      <w:pPr>
        <w:pStyle w:val="NoSpacing"/>
        <w:pBdr>
          <w:top w:val="single" w:sz="6" w:space="6" w:color="4472C4"/>
          <w:bottom w:val="single" w:sz="6" w:space="6" w:color="4472C4"/>
        </w:pBdr>
        <w:spacing w:after="120"/>
        <w:jc w:val="center"/>
        <w:rPr>
          <w:rFonts w:ascii="Calibri Light" w:hAnsi="Calibri Light"/>
          <w:caps/>
          <w:color w:val="4472C4"/>
          <w:sz w:val="80"/>
          <w:szCs w:val="80"/>
        </w:rPr>
      </w:pPr>
      <w:r w:rsidRPr="00225753">
        <w:rPr>
          <w:rFonts w:ascii="Calibri Light" w:hAnsi="Calibri Light"/>
          <w:caps/>
          <w:color w:val="4472C4"/>
          <w:sz w:val="36"/>
          <w:szCs w:val="36"/>
        </w:rPr>
        <w:t>Factors Affecting Overall Online Course Performance Across Different Platforms</w:t>
      </w:r>
    </w:p>
    <w:p w14:paraId="78A6EE58" w14:textId="090360DC" w:rsidR="001F43ED" w:rsidRPr="00225753" w:rsidRDefault="003C6343" w:rsidP="00620BBC">
      <w:pPr>
        <w:pStyle w:val="NoSpacing"/>
        <w:spacing w:after="120"/>
        <w:rPr>
          <w:color w:val="4472C4"/>
        </w:rPr>
      </w:pPr>
      <w:r>
        <w:rPr>
          <w:noProof/>
        </w:rPr>
        <mc:AlternateContent>
          <mc:Choice Requires="wps">
            <w:drawing>
              <wp:anchor distT="0" distB="0" distL="114300" distR="114300" simplePos="0" relativeHeight="251656192" behindDoc="0" locked="0" layoutInCell="1" allowOverlap="1" wp14:anchorId="692E9113" wp14:editId="111FB8DB">
                <wp:simplePos x="0" y="0"/>
                <wp:positionH relativeFrom="page">
                  <wp:posOffset>914400</wp:posOffset>
                </wp:positionH>
                <wp:positionV relativeFrom="page">
                  <wp:posOffset>9088120</wp:posOffset>
                </wp:positionV>
                <wp:extent cx="5731510" cy="629920"/>
                <wp:effectExtent l="0" t="0" r="0" b="0"/>
                <wp:wrapNone/>
                <wp:docPr id="10904144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629920"/>
                        </a:xfrm>
                        <a:prstGeom prst="rect">
                          <a:avLst/>
                        </a:prstGeom>
                        <a:noFill/>
                        <a:ln w="6350">
                          <a:noFill/>
                        </a:ln>
                        <a:effectLst/>
                      </wps:spPr>
                      <wps:txbx>
                        <w:txbxContent>
                          <w:p w14:paraId="14258944" w14:textId="5B768342" w:rsidR="00AF4035" w:rsidRPr="00225753" w:rsidRDefault="00D25D2F" w:rsidP="00AF4035">
                            <w:pPr>
                              <w:pStyle w:val="NoSpacing"/>
                              <w:jc w:val="center"/>
                              <w:rPr>
                                <w:color w:val="4472C4"/>
                                <w:sz w:val="28"/>
                                <w:szCs w:val="28"/>
                              </w:rPr>
                            </w:pPr>
                            <w:r w:rsidRPr="00225753">
                              <w:rPr>
                                <w:color w:val="4472C4"/>
                                <w:sz w:val="28"/>
                                <w:szCs w:val="28"/>
                              </w:rPr>
                              <w:t>Le Thu Ha Tran</w:t>
                            </w:r>
                          </w:p>
                          <w:p w14:paraId="7F0FA701" w14:textId="77777777" w:rsidR="00AF4035" w:rsidRPr="00225753" w:rsidRDefault="00B277B3" w:rsidP="00AF4035">
                            <w:pPr>
                              <w:pStyle w:val="NoSpacing"/>
                              <w:jc w:val="center"/>
                              <w:rPr>
                                <w:color w:val="4472C4"/>
                              </w:rPr>
                            </w:pPr>
                            <w:r w:rsidRPr="00225753">
                              <w:rPr>
                                <w:caps/>
                                <w:color w:val="4472C4"/>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2E9113" id="_x0000_t202" coordsize="21600,21600" o:spt="202" path="m,l,21600r21600,l21600,xe">
                <v:stroke joinstyle="miter"/>
                <v:path gradientshapeok="t" o:connecttype="rect"/>
              </v:shapetype>
              <v:shape id="Text Box 4" o:spid="_x0000_s1026" type="#_x0000_t202" style="position:absolute;margin-left:1in;margin-top:715.6pt;width:451.3pt;height:4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" filled="f" stroked="f" strokeweight=".5pt">
                <v:textbox style="mso-fit-shape-to-text:t" inset="0,0,0,0">
                  <w:txbxContent>
                    <w:p w14:paraId="14258944" w14:textId="5B768342" w:rsidR="00AF4035" w:rsidRPr="00225753" w:rsidRDefault="00D25D2F" w:rsidP="00AF4035">
                      <w:pPr>
                        <w:pStyle w:val="NoSpacing"/>
                        <w:jc w:val="center"/>
                        <w:rPr>
                          <w:color w:val="4472C4"/>
                          <w:sz w:val="28"/>
                          <w:szCs w:val="28"/>
                        </w:rPr>
                      </w:pPr>
                      <w:r w:rsidRPr="00225753">
                        <w:rPr>
                          <w:color w:val="4472C4"/>
                          <w:sz w:val="28"/>
                          <w:szCs w:val="28"/>
                        </w:rPr>
                        <w:t>Le Thu Ha Tran</w:t>
                      </w:r>
                    </w:p>
                    <w:p w14:paraId="7F0FA701" w14:textId="77777777" w:rsidR="00AF4035" w:rsidRPr="00225753" w:rsidRDefault="00B277B3" w:rsidP="00AF4035">
                      <w:pPr>
                        <w:pStyle w:val="NoSpacing"/>
                        <w:jc w:val="center"/>
                        <w:rPr>
                          <w:color w:val="4472C4"/>
                        </w:rPr>
                      </w:pPr>
                      <w:r w:rsidRPr="00225753">
                        <w:rPr>
                          <w:caps/>
                          <w:color w:val="4472C4"/>
                        </w:rPr>
                        <w:t xml:space="preserve">     </w:t>
                      </w:r>
                    </w:p>
                  </w:txbxContent>
                </v:textbox>
                <w10:wrap anchorx="page" anchory="page"/>
              </v:shape>
            </w:pict>
          </mc:Fallback>
        </mc:AlternateContent>
      </w:r>
    </w:p>
    <w:p w14:paraId="3712B0E3" w14:textId="77777777" w:rsidR="00AE7B68" w:rsidRDefault="001F43ED" w:rsidP="00620BBC">
      <w:pPr>
        <w:spacing w:after="120" w:line="240" w:lineRule="auto"/>
      </w:pPr>
      <w:r>
        <w:br w:type="page"/>
      </w:r>
    </w:p>
    <w:p w14:paraId="6318C550" w14:textId="77777777" w:rsidR="00AE7B68" w:rsidRDefault="00AE7B68" w:rsidP="00620BBC">
      <w:pPr>
        <w:pStyle w:val="TOCHeading"/>
        <w:spacing w:before="0" w:after="120" w:line="240" w:lineRule="auto"/>
      </w:pPr>
      <w:r>
        <w:lastRenderedPageBreak/>
        <w:t>Table of Content</w:t>
      </w:r>
      <w:r w:rsidR="00122B82">
        <w:t>s</w:t>
      </w:r>
    </w:p>
    <w:p w14:paraId="2193FE43" w14:textId="53BE3EC7" w:rsidR="00722AC2" w:rsidRDefault="00AE7B68">
      <w:pPr>
        <w:pStyle w:val="TOC1"/>
        <w:tabs>
          <w:tab w:val="left" w:pos="440"/>
          <w:tab w:val="right" w:leader="dot" w:pos="9016"/>
        </w:tabs>
        <w:rPr>
          <w:rFonts w:asciiTheme="minorHAnsi" w:eastAsiaTheme="minorEastAsia" w:hAnsiTheme="minorHAnsi" w:cstheme="minorBidi"/>
          <w:noProof/>
          <w:kern w:val="2"/>
          <w:sz w:val="24"/>
          <w:szCs w:val="24"/>
          <w:lang w:eastAsia="en-NZ"/>
          <w14:ligatures w14:val="standardContextual"/>
        </w:rPr>
      </w:pPr>
      <w:r>
        <w:fldChar w:fldCharType="begin"/>
      </w:r>
      <w:r>
        <w:instrText xml:space="preserve"> TOC \o "1-3" \h \z \u </w:instrText>
      </w:r>
      <w:r>
        <w:fldChar w:fldCharType="separate"/>
      </w:r>
      <w:hyperlink w:anchor="_Toc194084535" w:history="1">
        <w:r w:rsidR="00722AC2" w:rsidRPr="003844A4">
          <w:rPr>
            <w:rStyle w:val="Hyperlink"/>
            <w:noProof/>
          </w:rPr>
          <w:t>1.</w:t>
        </w:r>
        <w:r w:rsidR="00722AC2">
          <w:rPr>
            <w:rFonts w:asciiTheme="minorHAnsi" w:eastAsiaTheme="minorEastAsia" w:hAnsiTheme="minorHAnsi" w:cstheme="minorBidi"/>
            <w:noProof/>
            <w:kern w:val="2"/>
            <w:sz w:val="24"/>
            <w:szCs w:val="24"/>
            <w:lang w:eastAsia="en-NZ"/>
            <w14:ligatures w14:val="standardContextual"/>
          </w:rPr>
          <w:tab/>
        </w:r>
        <w:r w:rsidR="00722AC2" w:rsidRPr="003844A4">
          <w:rPr>
            <w:rStyle w:val="Hyperlink"/>
            <w:noProof/>
          </w:rPr>
          <w:t>Introduction</w:t>
        </w:r>
        <w:r w:rsidR="00722AC2">
          <w:rPr>
            <w:noProof/>
            <w:webHidden/>
          </w:rPr>
          <w:tab/>
        </w:r>
        <w:r w:rsidR="00722AC2">
          <w:rPr>
            <w:noProof/>
            <w:webHidden/>
          </w:rPr>
          <w:fldChar w:fldCharType="begin"/>
        </w:r>
        <w:r w:rsidR="00722AC2">
          <w:rPr>
            <w:noProof/>
            <w:webHidden/>
          </w:rPr>
          <w:instrText xml:space="preserve"> PAGEREF _Toc194084535 \h </w:instrText>
        </w:r>
        <w:r w:rsidR="00722AC2">
          <w:rPr>
            <w:noProof/>
            <w:webHidden/>
          </w:rPr>
        </w:r>
        <w:r w:rsidR="00722AC2">
          <w:rPr>
            <w:noProof/>
            <w:webHidden/>
          </w:rPr>
          <w:fldChar w:fldCharType="separate"/>
        </w:r>
        <w:r w:rsidR="00300D4E">
          <w:rPr>
            <w:noProof/>
            <w:webHidden/>
          </w:rPr>
          <w:t>2</w:t>
        </w:r>
        <w:r w:rsidR="00722AC2">
          <w:rPr>
            <w:noProof/>
            <w:webHidden/>
          </w:rPr>
          <w:fldChar w:fldCharType="end"/>
        </w:r>
      </w:hyperlink>
    </w:p>
    <w:p w14:paraId="458E047D" w14:textId="494CEFAE" w:rsidR="00722AC2" w:rsidRDefault="00722AC2">
      <w:pPr>
        <w:pStyle w:val="TOC1"/>
        <w:tabs>
          <w:tab w:val="left" w:pos="440"/>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36" w:history="1">
        <w:r w:rsidRPr="003844A4">
          <w:rPr>
            <w:rStyle w:val="Hyperlink"/>
            <w:noProof/>
          </w:rPr>
          <w:t>2.</w:t>
        </w:r>
        <w:r>
          <w:rPr>
            <w:rFonts w:asciiTheme="minorHAnsi" w:eastAsiaTheme="minorEastAsia" w:hAnsiTheme="minorHAnsi" w:cstheme="minorBidi"/>
            <w:noProof/>
            <w:kern w:val="2"/>
            <w:sz w:val="24"/>
            <w:szCs w:val="24"/>
            <w:lang w:eastAsia="en-NZ"/>
            <w14:ligatures w14:val="standardContextual"/>
          </w:rPr>
          <w:tab/>
        </w:r>
        <w:r w:rsidRPr="003844A4">
          <w:rPr>
            <w:rStyle w:val="Hyperlink"/>
            <w:noProof/>
          </w:rPr>
          <w:t>Business questions</w:t>
        </w:r>
        <w:r>
          <w:rPr>
            <w:noProof/>
            <w:webHidden/>
          </w:rPr>
          <w:tab/>
        </w:r>
        <w:r>
          <w:rPr>
            <w:noProof/>
            <w:webHidden/>
          </w:rPr>
          <w:fldChar w:fldCharType="begin"/>
        </w:r>
        <w:r>
          <w:rPr>
            <w:noProof/>
            <w:webHidden/>
          </w:rPr>
          <w:instrText xml:space="preserve"> PAGEREF _Toc194084536 \h </w:instrText>
        </w:r>
        <w:r>
          <w:rPr>
            <w:noProof/>
            <w:webHidden/>
          </w:rPr>
        </w:r>
        <w:r>
          <w:rPr>
            <w:noProof/>
            <w:webHidden/>
          </w:rPr>
          <w:fldChar w:fldCharType="separate"/>
        </w:r>
        <w:r w:rsidR="00300D4E">
          <w:rPr>
            <w:noProof/>
            <w:webHidden/>
          </w:rPr>
          <w:t>2</w:t>
        </w:r>
        <w:r>
          <w:rPr>
            <w:noProof/>
            <w:webHidden/>
          </w:rPr>
          <w:fldChar w:fldCharType="end"/>
        </w:r>
      </w:hyperlink>
    </w:p>
    <w:p w14:paraId="744F196E" w14:textId="683EBB48" w:rsidR="00722AC2" w:rsidRDefault="00722AC2">
      <w:pPr>
        <w:pStyle w:val="TOC1"/>
        <w:tabs>
          <w:tab w:val="left" w:pos="440"/>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37" w:history="1">
        <w:r w:rsidRPr="003844A4">
          <w:rPr>
            <w:rStyle w:val="Hyperlink"/>
            <w:noProof/>
          </w:rPr>
          <w:t>3.</w:t>
        </w:r>
        <w:r>
          <w:rPr>
            <w:rFonts w:asciiTheme="minorHAnsi" w:eastAsiaTheme="minorEastAsia" w:hAnsiTheme="minorHAnsi" w:cstheme="minorBidi"/>
            <w:noProof/>
            <w:kern w:val="2"/>
            <w:sz w:val="24"/>
            <w:szCs w:val="24"/>
            <w:lang w:eastAsia="en-NZ"/>
            <w14:ligatures w14:val="standardContextual"/>
          </w:rPr>
          <w:tab/>
        </w:r>
        <w:r w:rsidRPr="003844A4">
          <w:rPr>
            <w:rStyle w:val="Hyperlink"/>
            <w:noProof/>
          </w:rPr>
          <w:t>Dataset description</w:t>
        </w:r>
        <w:r>
          <w:rPr>
            <w:noProof/>
            <w:webHidden/>
          </w:rPr>
          <w:tab/>
        </w:r>
        <w:r>
          <w:rPr>
            <w:noProof/>
            <w:webHidden/>
          </w:rPr>
          <w:fldChar w:fldCharType="begin"/>
        </w:r>
        <w:r>
          <w:rPr>
            <w:noProof/>
            <w:webHidden/>
          </w:rPr>
          <w:instrText xml:space="preserve"> PAGEREF _Toc194084537 \h </w:instrText>
        </w:r>
        <w:r>
          <w:rPr>
            <w:noProof/>
            <w:webHidden/>
          </w:rPr>
        </w:r>
        <w:r>
          <w:rPr>
            <w:noProof/>
            <w:webHidden/>
          </w:rPr>
          <w:fldChar w:fldCharType="separate"/>
        </w:r>
        <w:r w:rsidR="00300D4E">
          <w:rPr>
            <w:noProof/>
            <w:webHidden/>
          </w:rPr>
          <w:t>3</w:t>
        </w:r>
        <w:r>
          <w:rPr>
            <w:noProof/>
            <w:webHidden/>
          </w:rPr>
          <w:fldChar w:fldCharType="end"/>
        </w:r>
      </w:hyperlink>
    </w:p>
    <w:p w14:paraId="198F91FD" w14:textId="290DAFF7" w:rsidR="00722AC2" w:rsidRDefault="00722AC2">
      <w:pPr>
        <w:pStyle w:val="TOC1"/>
        <w:tabs>
          <w:tab w:val="left" w:pos="440"/>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38" w:history="1">
        <w:r w:rsidRPr="003844A4">
          <w:rPr>
            <w:rStyle w:val="Hyperlink"/>
            <w:noProof/>
          </w:rPr>
          <w:t>4.</w:t>
        </w:r>
        <w:r>
          <w:rPr>
            <w:rFonts w:asciiTheme="minorHAnsi" w:eastAsiaTheme="minorEastAsia" w:hAnsiTheme="minorHAnsi" w:cstheme="minorBidi"/>
            <w:noProof/>
            <w:kern w:val="2"/>
            <w:sz w:val="24"/>
            <w:szCs w:val="24"/>
            <w:lang w:eastAsia="en-NZ"/>
            <w14:ligatures w14:val="standardContextual"/>
          </w:rPr>
          <w:tab/>
        </w:r>
        <w:r w:rsidRPr="003844A4">
          <w:rPr>
            <w:rStyle w:val="Hyperlink"/>
            <w:noProof/>
          </w:rPr>
          <w:t>Exploratory data analysis</w:t>
        </w:r>
        <w:r>
          <w:rPr>
            <w:noProof/>
            <w:webHidden/>
          </w:rPr>
          <w:tab/>
        </w:r>
        <w:r>
          <w:rPr>
            <w:noProof/>
            <w:webHidden/>
          </w:rPr>
          <w:fldChar w:fldCharType="begin"/>
        </w:r>
        <w:r>
          <w:rPr>
            <w:noProof/>
            <w:webHidden/>
          </w:rPr>
          <w:instrText xml:space="preserve"> PAGEREF _Toc194084538 \h </w:instrText>
        </w:r>
        <w:r>
          <w:rPr>
            <w:noProof/>
            <w:webHidden/>
          </w:rPr>
        </w:r>
        <w:r>
          <w:rPr>
            <w:noProof/>
            <w:webHidden/>
          </w:rPr>
          <w:fldChar w:fldCharType="separate"/>
        </w:r>
        <w:r w:rsidR="00300D4E">
          <w:rPr>
            <w:noProof/>
            <w:webHidden/>
          </w:rPr>
          <w:t>4</w:t>
        </w:r>
        <w:r>
          <w:rPr>
            <w:noProof/>
            <w:webHidden/>
          </w:rPr>
          <w:fldChar w:fldCharType="end"/>
        </w:r>
      </w:hyperlink>
    </w:p>
    <w:p w14:paraId="33E068A8" w14:textId="49500A99" w:rsidR="00722AC2" w:rsidRDefault="00722AC2">
      <w:pPr>
        <w:pStyle w:val="TOC2"/>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39" w:history="1">
        <w:r w:rsidRPr="003844A4">
          <w:rPr>
            <w:rStyle w:val="Hyperlink"/>
            <w:noProof/>
          </w:rPr>
          <w:t>4.1 Descriptive statistics of online course metrics</w:t>
        </w:r>
        <w:r>
          <w:rPr>
            <w:noProof/>
            <w:webHidden/>
          </w:rPr>
          <w:tab/>
        </w:r>
        <w:r>
          <w:rPr>
            <w:noProof/>
            <w:webHidden/>
          </w:rPr>
          <w:fldChar w:fldCharType="begin"/>
        </w:r>
        <w:r>
          <w:rPr>
            <w:noProof/>
            <w:webHidden/>
          </w:rPr>
          <w:instrText xml:space="preserve"> PAGEREF _Toc194084539 \h </w:instrText>
        </w:r>
        <w:r>
          <w:rPr>
            <w:noProof/>
            <w:webHidden/>
          </w:rPr>
        </w:r>
        <w:r>
          <w:rPr>
            <w:noProof/>
            <w:webHidden/>
          </w:rPr>
          <w:fldChar w:fldCharType="separate"/>
        </w:r>
        <w:r w:rsidR="00300D4E">
          <w:rPr>
            <w:noProof/>
            <w:webHidden/>
          </w:rPr>
          <w:t>4</w:t>
        </w:r>
        <w:r>
          <w:rPr>
            <w:noProof/>
            <w:webHidden/>
          </w:rPr>
          <w:fldChar w:fldCharType="end"/>
        </w:r>
      </w:hyperlink>
    </w:p>
    <w:p w14:paraId="431BD564" w14:textId="66FC6215" w:rsidR="00722AC2" w:rsidRDefault="00722AC2">
      <w:pPr>
        <w:pStyle w:val="TOC2"/>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40" w:history="1">
        <w:r w:rsidRPr="003844A4">
          <w:rPr>
            <w:rStyle w:val="Hyperlink"/>
            <w:noProof/>
          </w:rPr>
          <w:t>4.2 Distribution analysis of key course metrics</w:t>
        </w:r>
        <w:r>
          <w:rPr>
            <w:noProof/>
            <w:webHidden/>
          </w:rPr>
          <w:tab/>
        </w:r>
        <w:r>
          <w:rPr>
            <w:noProof/>
            <w:webHidden/>
          </w:rPr>
          <w:fldChar w:fldCharType="begin"/>
        </w:r>
        <w:r>
          <w:rPr>
            <w:noProof/>
            <w:webHidden/>
          </w:rPr>
          <w:instrText xml:space="preserve"> PAGEREF _Toc194084540 \h </w:instrText>
        </w:r>
        <w:r>
          <w:rPr>
            <w:noProof/>
            <w:webHidden/>
          </w:rPr>
        </w:r>
        <w:r>
          <w:rPr>
            <w:noProof/>
            <w:webHidden/>
          </w:rPr>
          <w:fldChar w:fldCharType="separate"/>
        </w:r>
        <w:r w:rsidR="00300D4E">
          <w:rPr>
            <w:noProof/>
            <w:webHidden/>
          </w:rPr>
          <w:t>6</w:t>
        </w:r>
        <w:r>
          <w:rPr>
            <w:noProof/>
            <w:webHidden/>
          </w:rPr>
          <w:fldChar w:fldCharType="end"/>
        </w:r>
      </w:hyperlink>
    </w:p>
    <w:p w14:paraId="1DD6276F" w14:textId="1FA172E1" w:rsidR="00722AC2" w:rsidRDefault="00722AC2">
      <w:pPr>
        <w:pStyle w:val="TOC2"/>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41" w:history="1">
        <w:r w:rsidRPr="003844A4">
          <w:rPr>
            <w:rStyle w:val="Hyperlink"/>
            <w:noProof/>
          </w:rPr>
          <w:t>4.3 Cross-platform performance of online courses: Insights from ratings, completion, and pricing data</w:t>
        </w:r>
        <w:r>
          <w:rPr>
            <w:noProof/>
            <w:webHidden/>
          </w:rPr>
          <w:tab/>
        </w:r>
        <w:r>
          <w:rPr>
            <w:noProof/>
            <w:webHidden/>
          </w:rPr>
          <w:fldChar w:fldCharType="begin"/>
        </w:r>
        <w:r>
          <w:rPr>
            <w:noProof/>
            <w:webHidden/>
          </w:rPr>
          <w:instrText xml:space="preserve"> PAGEREF _Toc194084541 \h </w:instrText>
        </w:r>
        <w:r>
          <w:rPr>
            <w:noProof/>
            <w:webHidden/>
          </w:rPr>
        </w:r>
        <w:r>
          <w:rPr>
            <w:noProof/>
            <w:webHidden/>
          </w:rPr>
          <w:fldChar w:fldCharType="separate"/>
        </w:r>
        <w:r w:rsidR="00300D4E">
          <w:rPr>
            <w:noProof/>
            <w:webHidden/>
          </w:rPr>
          <w:t>10</w:t>
        </w:r>
        <w:r>
          <w:rPr>
            <w:noProof/>
            <w:webHidden/>
          </w:rPr>
          <w:fldChar w:fldCharType="end"/>
        </w:r>
      </w:hyperlink>
    </w:p>
    <w:p w14:paraId="3BB39974" w14:textId="74F122F1" w:rsidR="00722AC2" w:rsidRDefault="00722AC2">
      <w:pPr>
        <w:pStyle w:val="TOC1"/>
        <w:tabs>
          <w:tab w:val="left" w:pos="440"/>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42" w:history="1">
        <w:r w:rsidRPr="003844A4">
          <w:rPr>
            <w:rStyle w:val="Hyperlink"/>
            <w:noProof/>
          </w:rPr>
          <w:t>5.</w:t>
        </w:r>
        <w:r>
          <w:rPr>
            <w:rFonts w:asciiTheme="minorHAnsi" w:eastAsiaTheme="minorEastAsia" w:hAnsiTheme="minorHAnsi" w:cstheme="minorBidi"/>
            <w:noProof/>
            <w:kern w:val="2"/>
            <w:sz w:val="24"/>
            <w:szCs w:val="24"/>
            <w:lang w:eastAsia="en-NZ"/>
            <w14:ligatures w14:val="standardContextual"/>
          </w:rPr>
          <w:tab/>
        </w:r>
        <w:r w:rsidRPr="003844A4">
          <w:rPr>
            <w:rStyle w:val="Hyperlink"/>
            <w:noProof/>
          </w:rPr>
          <w:t>Diagnostic analysis</w:t>
        </w:r>
        <w:r>
          <w:rPr>
            <w:noProof/>
            <w:webHidden/>
          </w:rPr>
          <w:tab/>
        </w:r>
        <w:r>
          <w:rPr>
            <w:noProof/>
            <w:webHidden/>
          </w:rPr>
          <w:fldChar w:fldCharType="begin"/>
        </w:r>
        <w:r>
          <w:rPr>
            <w:noProof/>
            <w:webHidden/>
          </w:rPr>
          <w:instrText xml:space="preserve"> PAGEREF _Toc194084542 \h </w:instrText>
        </w:r>
        <w:r>
          <w:rPr>
            <w:noProof/>
            <w:webHidden/>
          </w:rPr>
        </w:r>
        <w:r>
          <w:rPr>
            <w:noProof/>
            <w:webHidden/>
          </w:rPr>
          <w:fldChar w:fldCharType="separate"/>
        </w:r>
        <w:r w:rsidR="00300D4E">
          <w:rPr>
            <w:noProof/>
            <w:webHidden/>
          </w:rPr>
          <w:t>18</w:t>
        </w:r>
        <w:r>
          <w:rPr>
            <w:noProof/>
            <w:webHidden/>
          </w:rPr>
          <w:fldChar w:fldCharType="end"/>
        </w:r>
      </w:hyperlink>
    </w:p>
    <w:p w14:paraId="7412BF98" w14:textId="7972933D" w:rsidR="00722AC2" w:rsidRDefault="00722AC2">
      <w:pPr>
        <w:pStyle w:val="TOC2"/>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43" w:history="1">
        <w:r w:rsidRPr="003844A4">
          <w:rPr>
            <w:rStyle w:val="Hyperlink"/>
            <w:noProof/>
          </w:rPr>
          <w:t>5.1 Correlation heatmap</w:t>
        </w:r>
        <w:r>
          <w:rPr>
            <w:noProof/>
            <w:webHidden/>
          </w:rPr>
          <w:tab/>
        </w:r>
        <w:r>
          <w:rPr>
            <w:noProof/>
            <w:webHidden/>
          </w:rPr>
          <w:fldChar w:fldCharType="begin"/>
        </w:r>
        <w:r>
          <w:rPr>
            <w:noProof/>
            <w:webHidden/>
          </w:rPr>
          <w:instrText xml:space="preserve"> PAGEREF _Toc194084543 \h </w:instrText>
        </w:r>
        <w:r>
          <w:rPr>
            <w:noProof/>
            <w:webHidden/>
          </w:rPr>
        </w:r>
        <w:r>
          <w:rPr>
            <w:noProof/>
            <w:webHidden/>
          </w:rPr>
          <w:fldChar w:fldCharType="separate"/>
        </w:r>
        <w:r w:rsidR="00300D4E">
          <w:rPr>
            <w:noProof/>
            <w:webHidden/>
          </w:rPr>
          <w:t>18</w:t>
        </w:r>
        <w:r>
          <w:rPr>
            <w:noProof/>
            <w:webHidden/>
          </w:rPr>
          <w:fldChar w:fldCharType="end"/>
        </w:r>
      </w:hyperlink>
    </w:p>
    <w:p w14:paraId="0E4D1CDD" w14:textId="5A75DB0B" w:rsidR="00722AC2" w:rsidRDefault="00722AC2">
      <w:pPr>
        <w:pStyle w:val="TOC2"/>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44" w:history="1">
        <w:r w:rsidRPr="003844A4">
          <w:rPr>
            <w:rStyle w:val="Hyperlink"/>
            <w:noProof/>
          </w:rPr>
          <w:t>5.2 Multiple regression</w:t>
        </w:r>
        <w:r>
          <w:rPr>
            <w:noProof/>
            <w:webHidden/>
          </w:rPr>
          <w:tab/>
        </w:r>
        <w:r>
          <w:rPr>
            <w:noProof/>
            <w:webHidden/>
          </w:rPr>
          <w:fldChar w:fldCharType="begin"/>
        </w:r>
        <w:r>
          <w:rPr>
            <w:noProof/>
            <w:webHidden/>
          </w:rPr>
          <w:instrText xml:space="preserve"> PAGEREF _Toc194084544 \h </w:instrText>
        </w:r>
        <w:r>
          <w:rPr>
            <w:noProof/>
            <w:webHidden/>
          </w:rPr>
        </w:r>
        <w:r>
          <w:rPr>
            <w:noProof/>
            <w:webHidden/>
          </w:rPr>
          <w:fldChar w:fldCharType="separate"/>
        </w:r>
        <w:r w:rsidR="00300D4E">
          <w:rPr>
            <w:noProof/>
            <w:webHidden/>
          </w:rPr>
          <w:t>18</w:t>
        </w:r>
        <w:r>
          <w:rPr>
            <w:noProof/>
            <w:webHidden/>
          </w:rPr>
          <w:fldChar w:fldCharType="end"/>
        </w:r>
      </w:hyperlink>
    </w:p>
    <w:p w14:paraId="3F58FA77" w14:textId="08B8E8EC" w:rsidR="00722AC2" w:rsidRDefault="00722AC2">
      <w:pPr>
        <w:pStyle w:val="TOC1"/>
        <w:tabs>
          <w:tab w:val="left" w:pos="440"/>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45" w:history="1">
        <w:r w:rsidRPr="003844A4">
          <w:rPr>
            <w:rStyle w:val="Hyperlink"/>
            <w:noProof/>
          </w:rPr>
          <w:t>6.</w:t>
        </w:r>
        <w:r>
          <w:rPr>
            <w:rFonts w:asciiTheme="minorHAnsi" w:eastAsiaTheme="minorEastAsia" w:hAnsiTheme="minorHAnsi" w:cstheme="minorBidi"/>
            <w:noProof/>
            <w:kern w:val="2"/>
            <w:sz w:val="24"/>
            <w:szCs w:val="24"/>
            <w:lang w:eastAsia="en-NZ"/>
            <w14:ligatures w14:val="standardContextual"/>
          </w:rPr>
          <w:tab/>
        </w:r>
        <w:r w:rsidRPr="003844A4">
          <w:rPr>
            <w:rStyle w:val="Hyperlink"/>
            <w:noProof/>
          </w:rPr>
          <w:t>Business insights</w:t>
        </w:r>
        <w:r>
          <w:rPr>
            <w:noProof/>
            <w:webHidden/>
          </w:rPr>
          <w:tab/>
        </w:r>
        <w:r>
          <w:rPr>
            <w:noProof/>
            <w:webHidden/>
          </w:rPr>
          <w:fldChar w:fldCharType="begin"/>
        </w:r>
        <w:r>
          <w:rPr>
            <w:noProof/>
            <w:webHidden/>
          </w:rPr>
          <w:instrText xml:space="preserve"> PAGEREF _Toc194084545 \h </w:instrText>
        </w:r>
        <w:r>
          <w:rPr>
            <w:noProof/>
            <w:webHidden/>
          </w:rPr>
        </w:r>
        <w:r>
          <w:rPr>
            <w:noProof/>
            <w:webHidden/>
          </w:rPr>
          <w:fldChar w:fldCharType="separate"/>
        </w:r>
        <w:r w:rsidR="00300D4E">
          <w:rPr>
            <w:noProof/>
            <w:webHidden/>
          </w:rPr>
          <w:t>19</w:t>
        </w:r>
        <w:r>
          <w:rPr>
            <w:noProof/>
            <w:webHidden/>
          </w:rPr>
          <w:fldChar w:fldCharType="end"/>
        </w:r>
      </w:hyperlink>
    </w:p>
    <w:p w14:paraId="538D7933" w14:textId="10D811B1" w:rsidR="00722AC2" w:rsidRDefault="00722AC2">
      <w:pPr>
        <w:pStyle w:val="TOC2"/>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46" w:history="1">
        <w:r w:rsidRPr="003844A4">
          <w:rPr>
            <w:rStyle w:val="Hyperlink"/>
            <w:noProof/>
          </w:rPr>
          <w:t>6.1 Platform-level insights: Quality vs. Enrolment</w:t>
        </w:r>
        <w:r>
          <w:rPr>
            <w:noProof/>
            <w:webHidden/>
          </w:rPr>
          <w:tab/>
        </w:r>
        <w:r>
          <w:rPr>
            <w:noProof/>
            <w:webHidden/>
          </w:rPr>
          <w:fldChar w:fldCharType="begin"/>
        </w:r>
        <w:r>
          <w:rPr>
            <w:noProof/>
            <w:webHidden/>
          </w:rPr>
          <w:instrText xml:space="preserve"> PAGEREF _Toc194084546 \h </w:instrText>
        </w:r>
        <w:r>
          <w:rPr>
            <w:noProof/>
            <w:webHidden/>
          </w:rPr>
        </w:r>
        <w:r>
          <w:rPr>
            <w:noProof/>
            <w:webHidden/>
          </w:rPr>
          <w:fldChar w:fldCharType="separate"/>
        </w:r>
        <w:r w:rsidR="00300D4E">
          <w:rPr>
            <w:noProof/>
            <w:webHidden/>
          </w:rPr>
          <w:t>19</w:t>
        </w:r>
        <w:r>
          <w:rPr>
            <w:noProof/>
            <w:webHidden/>
          </w:rPr>
          <w:fldChar w:fldCharType="end"/>
        </w:r>
      </w:hyperlink>
    </w:p>
    <w:p w14:paraId="756F8ECA" w14:textId="38A82B3E" w:rsidR="00722AC2" w:rsidRDefault="00722AC2">
      <w:pPr>
        <w:pStyle w:val="TOC2"/>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47" w:history="1">
        <w:r w:rsidRPr="003844A4">
          <w:rPr>
            <w:rStyle w:val="Hyperlink"/>
            <w:noProof/>
          </w:rPr>
          <w:t>6.2 Course duration: Engagement is not linear</w:t>
        </w:r>
        <w:r>
          <w:rPr>
            <w:noProof/>
            <w:webHidden/>
          </w:rPr>
          <w:tab/>
        </w:r>
        <w:r>
          <w:rPr>
            <w:noProof/>
            <w:webHidden/>
          </w:rPr>
          <w:fldChar w:fldCharType="begin"/>
        </w:r>
        <w:r>
          <w:rPr>
            <w:noProof/>
            <w:webHidden/>
          </w:rPr>
          <w:instrText xml:space="preserve"> PAGEREF _Toc194084547 \h </w:instrText>
        </w:r>
        <w:r>
          <w:rPr>
            <w:noProof/>
            <w:webHidden/>
          </w:rPr>
        </w:r>
        <w:r>
          <w:rPr>
            <w:noProof/>
            <w:webHidden/>
          </w:rPr>
          <w:fldChar w:fldCharType="separate"/>
        </w:r>
        <w:r w:rsidR="00300D4E">
          <w:rPr>
            <w:noProof/>
            <w:webHidden/>
          </w:rPr>
          <w:t>20</w:t>
        </w:r>
        <w:r>
          <w:rPr>
            <w:noProof/>
            <w:webHidden/>
          </w:rPr>
          <w:fldChar w:fldCharType="end"/>
        </w:r>
      </w:hyperlink>
    </w:p>
    <w:p w14:paraId="53C5BF7C" w14:textId="70D70007" w:rsidR="00722AC2" w:rsidRDefault="00722AC2">
      <w:pPr>
        <w:pStyle w:val="TOC2"/>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48" w:history="1">
        <w:r w:rsidRPr="003844A4">
          <w:rPr>
            <w:rStyle w:val="Hyperlink"/>
            <w:noProof/>
          </w:rPr>
          <w:t>6.3 Pricing: Perception of value over absolute cost</w:t>
        </w:r>
        <w:r>
          <w:rPr>
            <w:noProof/>
            <w:webHidden/>
          </w:rPr>
          <w:tab/>
        </w:r>
        <w:r>
          <w:rPr>
            <w:noProof/>
            <w:webHidden/>
          </w:rPr>
          <w:fldChar w:fldCharType="begin"/>
        </w:r>
        <w:r>
          <w:rPr>
            <w:noProof/>
            <w:webHidden/>
          </w:rPr>
          <w:instrText xml:space="preserve"> PAGEREF _Toc194084548 \h </w:instrText>
        </w:r>
        <w:r>
          <w:rPr>
            <w:noProof/>
            <w:webHidden/>
          </w:rPr>
        </w:r>
        <w:r>
          <w:rPr>
            <w:noProof/>
            <w:webHidden/>
          </w:rPr>
          <w:fldChar w:fldCharType="separate"/>
        </w:r>
        <w:r w:rsidR="00300D4E">
          <w:rPr>
            <w:noProof/>
            <w:webHidden/>
          </w:rPr>
          <w:t>20</w:t>
        </w:r>
        <w:r>
          <w:rPr>
            <w:noProof/>
            <w:webHidden/>
          </w:rPr>
          <w:fldChar w:fldCharType="end"/>
        </w:r>
      </w:hyperlink>
    </w:p>
    <w:p w14:paraId="644FEBA9" w14:textId="580BD672" w:rsidR="00722AC2" w:rsidRDefault="00722AC2">
      <w:pPr>
        <w:pStyle w:val="TOC2"/>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49" w:history="1">
        <w:r w:rsidRPr="003844A4">
          <w:rPr>
            <w:rStyle w:val="Hyperlink"/>
            <w:noProof/>
          </w:rPr>
          <w:t>6.4 Course categories: Soft skills drive demand</w:t>
        </w:r>
        <w:r>
          <w:rPr>
            <w:noProof/>
            <w:webHidden/>
          </w:rPr>
          <w:tab/>
        </w:r>
        <w:r>
          <w:rPr>
            <w:noProof/>
            <w:webHidden/>
          </w:rPr>
          <w:fldChar w:fldCharType="begin"/>
        </w:r>
        <w:r>
          <w:rPr>
            <w:noProof/>
            <w:webHidden/>
          </w:rPr>
          <w:instrText xml:space="preserve"> PAGEREF _Toc194084549 \h </w:instrText>
        </w:r>
        <w:r>
          <w:rPr>
            <w:noProof/>
            <w:webHidden/>
          </w:rPr>
        </w:r>
        <w:r>
          <w:rPr>
            <w:noProof/>
            <w:webHidden/>
          </w:rPr>
          <w:fldChar w:fldCharType="separate"/>
        </w:r>
        <w:r w:rsidR="00300D4E">
          <w:rPr>
            <w:noProof/>
            <w:webHidden/>
          </w:rPr>
          <w:t>20</w:t>
        </w:r>
        <w:r>
          <w:rPr>
            <w:noProof/>
            <w:webHidden/>
          </w:rPr>
          <w:fldChar w:fldCharType="end"/>
        </w:r>
      </w:hyperlink>
    </w:p>
    <w:p w14:paraId="691096A5" w14:textId="6E2CA59F" w:rsidR="00722AC2" w:rsidRDefault="00722AC2">
      <w:pPr>
        <w:pStyle w:val="TOC2"/>
        <w:tabs>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50" w:history="1">
        <w:r w:rsidRPr="003844A4">
          <w:rPr>
            <w:rStyle w:val="Hyperlink"/>
            <w:noProof/>
          </w:rPr>
          <w:t>6.5 Diagnostic analysis: Pricing and duration do not predict enrolment</w:t>
        </w:r>
        <w:r>
          <w:rPr>
            <w:noProof/>
            <w:webHidden/>
          </w:rPr>
          <w:tab/>
        </w:r>
        <w:r>
          <w:rPr>
            <w:noProof/>
            <w:webHidden/>
          </w:rPr>
          <w:fldChar w:fldCharType="begin"/>
        </w:r>
        <w:r>
          <w:rPr>
            <w:noProof/>
            <w:webHidden/>
          </w:rPr>
          <w:instrText xml:space="preserve"> PAGEREF _Toc194084550 \h </w:instrText>
        </w:r>
        <w:r>
          <w:rPr>
            <w:noProof/>
            <w:webHidden/>
          </w:rPr>
        </w:r>
        <w:r>
          <w:rPr>
            <w:noProof/>
            <w:webHidden/>
          </w:rPr>
          <w:fldChar w:fldCharType="separate"/>
        </w:r>
        <w:r w:rsidR="00300D4E">
          <w:rPr>
            <w:noProof/>
            <w:webHidden/>
          </w:rPr>
          <w:t>20</w:t>
        </w:r>
        <w:r>
          <w:rPr>
            <w:noProof/>
            <w:webHidden/>
          </w:rPr>
          <w:fldChar w:fldCharType="end"/>
        </w:r>
      </w:hyperlink>
    </w:p>
    <w:p w14:paraId="3C70397E" w14:textId="00DA0872" w:rsidR="00722AC2" w:rsidRDefault="00722AC2">
      <w:pPr>
        <w:pStyle w:val="TOC1"/>
        <w:tabs>
          <w:tab w:val="left" w:pos="440"/>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51" w:history="1">
        <w:r w:rsidRPr="003844A4">
          <w:rPr>
            <w:rStyle w:val="Hyperlink"/>
            <w:noProof/>
          </w:rPr>
          <w:t>7.</w:t>
        </w:r>
        <w:r>
          <w:rPr>
            <w:rFonts w:asciiTheme="minorHAnsi" w:eastAsiaTheme="minorEastAsia" w:hAnsiTheme="minorHAnsi" w:cstheme="minorBidi"/>
            <w:noProof/>
            <w:kern w:val="2"/>
            <w:sz w:val="24"/>
            <w:szCs w:val="24"/>
            <w:lang w:eastAsia="en-NZ"/>
            <w14:ligatures w14:val="standardContextual"/>
          </w:rPr>
          <w:tab/>
        </w:r>
        <w:r w:rsidRPr="003844A4">
          <w:rPr>
            <w:rStyle w:val="Hyperlink"/>
            <w:noProof/>
          </w:rPr>
          <w:t>Review and revise business questions</w:t>
        </w:r>
        <w:r>
          <w:rPr>
            <w:noProof/>
            <w:webHidden/>
          </w:rPr>
          <w:tab/>
        </w:r>
        <w:r>
          <w:rPr>
            <w:noProof/>
            <w:webHidden/>
          </w:rPr>
          <w:fldChar w:fldCharType="begin"/>
        </w:r>
        <w:r>
          <w:rPr>
            <w:noProof/>
            <w:webHidden/>
          </w:rPr>
          <w:instrText xml:space="preserve"> PAGEREF _Toc194084551 \h </w:instrText>
        </w:r>
        <w:r>
          <w:rPr>
            <w:noProof/>
            <w:webHidden/>
          </w:rPr>
        </w:r>
        <w:r>
          <w:rPr>
            <w:noProof/>
            <w:webHidden/>
          </w:rPr>
          <w:fldChar w:fldCharType="separate"/>
        </w:r>
        <w:r w:rsidR="00300D4E">
          <w:rPr>
            <w:noProof/>
            <w:webHidden/>
          </w:rPr>
          <w:t>21</w:t>
        </w:r>
        <w:r>
          <w:rPr>
            <w:noProof/>
            <w:webHidden/>
          </w:rPr>
          <w:fldChar w:fldCharType="end"/>
        </w:r>
      </w:hyperlink>
    </w:p>
    <w:p w14:paraId="385A72C9" w14:textId="7D91F7EF" w:rsidR="00722AC2" w:rsidRDefault="00722AC2">
      <w:pPr>
        <w:pStyle w:val="TOC1"/>
        <w:tabs>
          <w:tab w:val="left" w:pos="440"/>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52" w:history="1">
        <w:r w:rsidRPr="003844A4">
          <w:rPr>
            <w:rStyle w:val="Hyperlink"/>
            <w:noProof/>
          </w:rPr>
          <w:t>8.</w:t>
        </w:r>
        <w:r>
          <w:rPr>
            <w:rFonts w:asciiTheme="minorHAnsi" w:eastAsiaTheme="minorEastAsia" w:hAnsiTheme="minorHAnsi" w:cstheme="minorBidi"/>
            <w:noProof/>
            <w:kern w:val="2"/>
            <w:sz w:val="24"/>
            <w:szCs w:val="24"/>
            <w:lang w:eastAsia="en-NZ"/>
            <w14:ligatures w14:val="standardContextual"/>
          </w:rPr>
          <w:tab/>
        </w:r>
        <w:r w:rsidRPr="003844A4">
          <w:rPr>
            <w:rStyle w:val="Hyperlink"/>
            <w:noProof/>
          </w:rPr>
          <w:t>Conclusion</w:t>
        </w:r>
        <w:r>
          <w:rPr>
            <w:noProof/>
            <w:webHidden/>
          </w:rPr>
          <w:tab/>
        </w:r>
        <w:r>
          <w:rPr>
            <w:noProof/>
            <w:webHidden/>
          </w:rPr>
          <w:fldChar w:fldCharType="begin"/>
        </w:r>
        <w:r>
          <w:rPr>
            <w:noProof/>
            <w:webHidden/>
          </w:rPr>
          <w:instrText xml:space="preserve"> PAGEREF _Toc194084552 \h </w:instrText>
        </w:r>
        <w:r>
          <w:rPr>
            <w:noProof/>
            <w:webHidden/>
          </w:rPr>
        </w:r>
        <w:r>
          <w:rPr>
            <w:noProof/>
            <w:webHidden/>
          </w:rPr>
          <w:fldChar w:fldCharType="separate"/>
        </w:r>
        <w:r w:rsidR="00300D4E">
          <w:rPr>
            <w:noProof/>
            <w:webHidden/>
          </w:rPr>
          <w:t>21</w:t>
        </w:r>
        <w:r>
          <w:rPr>
            <w:noProof/>
            <w:webHidden/>
          </w:rPr>
          <w:fldChar w:fldCharType="end"/>
        </w:r>
      </w:hyperlink>
    </w:p>
    <w:p w14:paraId="00F264F6" w14:textId="5FF66C94" w:rsidR="00722AC2" w:rsidRDefault="00722AC2">
      <w:pPr>
        <w:pStyle w:val="TOC1"/>
        <w:tabs>
          <w:tab w:val="left" w:pos="440"/>
          <w:tab w:val="right" w:leader="dot" w:pos="9016"/>
        </w:tabs>
        <w:rPr>
          <w:rFonts w:asciiTheme="minorHAnsi" w:eastAsiaTheme="minorEastAsia" w:hAnsiTheme="minorHAnsi" w:cstheme="minorBidi"/>
          <w:noProof/>
          <w:kern w:val="2"/>
          <w:sz w:val="24"/>
          <w:szCs w:val="24"/>
          <w:lang w:eastAsia="en-NZ"/>
          <w14:ligatures w14:val="standardContextual"/>
        </w:rPr>
      </w:pPr>
      <w:hyperlink w:anchor="_Toc194084553" w:history="1">
        <w:r w:rsidRPr="003844A4">
          <w:rPr>
            <w:rStyle w:val="Hyperlink"/>
            <w:noProof/>
          </w:rPr>
          <w:t>9.</w:t>
        </w:r>
        <w:r>
          <w:rPr>
            <w:rFonts w:asciiTheme="minorHAnsi" w:eastAsiaTheme="minorEastAsia" w:hAnsiTheme="minorHAnsi" w:cstheme="minorBidi"/>
            <w:noProof/>
            <w:kern w:val="2"/>
            <w:sz w:val="24"/>
            <w:szCs w:val="24"/>
            <w:lang w:eastAsia="en-NZ"/>
            <w14:ligatures w14:val="standardContextual"/>
          </w:rPr>
          <w:tab/>
        </w:r>
        <w:r w:rsidRPr="003844A4">
          <w:rPr>
            <w:rStyle w:val="Hyperlink"/>
            <w:noProof/>
          </w:rPr>
          <w:t>References</w:t>
        </w:r>
        <w:r>
          <w:rPr>
            <w:noProof/>
            <w:webHidden/>
          </w:rPr>
          <w:tab/>
        </w:r>
        <w:r>
          <w:rPr>
            <w:noProof/>
            <w:webHidden/>
          </w:rPr>
          <w:fldChar w:fldCharType="begin"/>
        </w:r>
        <w:r>
          <w:rPr>
            <w:noProof/>
            <w:webHidden/>
          </w:rPr>
          <w:instrText xml:space="preserve"> PAGEREF _Toc194084553 \h </w:instrText>
        </w:r>
        <w:r>
          <w:rPr>
            <w:noProof/>
            <w:webHidden/>
          </w:rPr>
        </w:r>
        <w:r>
          <w:rPr>
            <w:noProof/>
            <w:webHidden/>
          </w:rPr>
          <w:fldChar w:fldCharType="separate"/>
        </w:r>
        <w:r w:rsidR="00300D4E">
          <w:rPr>
            <w:noProof/>
            <w:webHidden/>
          </w:rPr>
          <w:t>22</w:t>
        </w:r>
        <w:r>
          <w:rPr>
            <w:noProof/>
            <w:webHidden/>
          </w:rPr>
          <w:fldChar w:fldCharType="end"/>
        </w:r>
      </w:hyperlink>
    </w:p>
    <w:p w14:paraId="4C0969E1" w14:textId="6E17DFF8" w:rsidR="001F43ED" w:rsidRDefault="00AE7B68" w:rsidP="00620BBC">
      <w:pPr>
        <w:spacing w:after="120" w:line="240" w:lineRule="auto"/>
      </w:pPr>
      <w:r>
        <w:rPr>
          <w:b/>
          <w:bCs/>
          <w:noProof/>
        </w:rPr>
        <w:fldChar w:fldCharType="end"/>
      </w:r>
    </w:p>
    <w:p w14:paraId="202FAD83" w14:textId="77777777" w:rsidR="00DB1125" w:rsidRPr="00225753" w:rsidRDefault="00DB1125" w:rsidP="00620BBC">
      <w:pPr>
        <w:spacing w:after="120" w:line="240" w:lineRule="auto"/>
        <w:rPr>
          <w:rFonts w:ascii="Calibri Light" w:eastAsia="Times New Roman" w:hAnsi="Calibri Light"/>
          <w:color w:val="2F5496"/>
          <w:sz w:val="32"/>
          <w:szCs w:val="32"/>
        </w:rPr>
      </w:pPr>
      <w:r>
        <w:br w:type="page"/>
      </w:r>
    </w:p>
    <w:p w14:paraId="60204D16" w14:textId="4C891E4E" w:rsidR="001F43ED" w:rsidRPr="00140125" w:rsidRDefault="001F43ED" w:rsidP="00620BBC">
      <w:pPr>
        <w:pStyle w:val="Heading1"/>
        <w:numPr>
          <w:ilvl w:val="0"/>
          <w:numId w:val="34"/>
        </w:numPr>
        <w:spacing w:before="0" w:after="120"/>
      </w:pPr>
      <w:bookmarkStart w:id="0" w:name="_Toc194084535"/>
      <w:r w:rsidRPr="00140125">
        <w:lastRenderedPageBreak/>
        <w:t>Introduction</w:t>
      </w:r>
      <w:bookmarkEnd w:id="0"/>
    </w:p>
    <w:p w14:paraId="54016FEF" w14:textId="16BD4AAD" w:rsidR="006718D6" w:rsidRDefault="002726D1" w:rsidP="00620BBC">
      <w:pPr>
        <w:spacing w:after="120" w:line="240" w:lineRule="auto"/>
      </w:pPr>
      <w:r w:rsidRPr="002726D1">
        <w:t>Online learning platforms have transformed education by providing flexible and scalable solutions. The global e-learning market, valued at USD 214.26 billion in 2021, is projected to grow at a compound annual rate of 20.5% from 2022 to 2030 (Polaris Market Research, 2022). This growth is driven by the increased adoption of e-learning software, demand for interactive environments (Deterding et al., 2011; EI Design, 2022), and a focus on human capital development (World Economic Forum, 2020). Additionally, advances in AI and machine learning enable personalised content, further enhancing e-learning (Polaris Market Research, 2022).</w:t>
      </w:r>
    </w:p>
    <w:p w14:paraId="562FFAAA" w14:textId="25C6935D" w:rsidR="006718D6" w:rsidRDefault="006718D6" w:rsidP="00620BBC">
      <w:pPr>
        <w:spacing w:after="120" w:line="240" w:lineRule="auto"/>
      </w:pPr>
      <w:r>
        <w:t>As of 2023, leading platforms like Coursera</w:t>
      </w:r>
      <w:r w:rsidR="002D17C9">
        <w:t xml:space="preserve">, </w:t>
      </w:r>
      <w:r>
        <w:t>Udemy</w:t>
      </w:r>
      <w:r w:rsidR="002D17C9">
        <w:t xml:space="preserve">, </w:t>
      </w:r>
      <w:r>
        <w:t>and LinkedIn Learning collectively serve over 223 million learners worldwide (Business of Apps, 2025). However, not all courses achieve the same levels of engagement, enrolment, or completion.</w:t>
      </w:r>
    </w:p>
    <w:p w14:paraId="5F5CBA25" w14:textId="68FC782A" w:rsidR="002D1236" w:rsidRDefault="006718D6" w:rsidP="00620BBC">
      <w:pPr>
        <w:spacing w:after="120" w:line="240" w:lineRule="auto"/>
      </w:pPr>
      <w:r>
        <w:t>Understanding the factors that influence course success is essential for optimising design, pricing, and engagement strategies. This report will analyse how pricing, duration, and category impact online course success, providing actionable insights to improve learner outcomes. These findings will be vital for University X as it aims to optimise its online offerings and strengthen its competitive position.</w:t>
      </w:r>
    </w:p>
    <w:p w14:paraId="27DF0C58" w14:textId="744B4E23" w:rsidR="00631C9D" w:rsidRPr="00140125" w:rsidRDefault="00152568" w:rsidP="00620BBC">
      <w:pPr>
        <w:pStyle w:val="Heading1"/>
        <w:numPr>
          <w:ilvl w:val="0"/>
          <w:numId w:val="34"/>
        </w:numPr>
        <w:spacing w:before="0" w:after="120"/>
      </w:pPr>
      <w:bookmarkStart w:id="1" w:name="_Toc194084536"/>
      <w:r w:rsidRPr="00140125">
        <w:t xml:space="preserve">Business </w:t>
      </w:r>
      <w:r w:rsidR="00BA000B" w:rsidRPr="00140125">
        <w:t>questions</w:t>
      </w:r>
      <w:bookmarkEnd w:id="1"/>
    </w:p>
    <w:p w14:paraId="32E94A16" w14:textId="77777777" w:rsidR="00630F50" w:rsidRDefault="005C3DA0" w:rsidP="00620BBC">
      <w:pPr>
        <w:spacing w:after="120" w:line="240" w:lineRule="auto"/>
      </w:pPr>
      <w:r w:rsidRPr="005C3DA0">
        <w:t xml:space="preserve">University X is undertaking a strategic initiative to enhance the competitiveness of its online learning platform in response to evolving global market dynamics. </w:t>
      </w:r>
      <w:r w:rsidR="00686066" w:rsidRPr="00686066">
        <w:t xml:space="preserve">This necessitates a comprehensive understanding of the global online education landscape, particularly insights from leading platforms </w:t>
      </w:r>
      <w:r w:rsidR="00686066" w:rsidRPr="00810523">
        <w:t>like Coursera</w:t>
      </w:r>
      <w:r w:rsidR="00C87DC4" w:rsidRPr="00810523">
        <w:t>, Udemy and LinkedIn Learning.</w:t>
      </w:r>
      <w:r w:rsidR="00C87DC4">
        <w:t xml:space="preserve"> </w:t>
      </w:r>
      <w:r w:rsidR="00630F50" w:rsidRPr="00630F50">
        <w:t xml:space="preserve">University X can </w:t>
      </w:r>
      <w:r w:rsidR="002B55A6">
        <w:t xml:space="preserve">use these insights to </w:t>
      </w:r>
      <w:r w:rsidR="00630F50" w:rsidRPr="00630F50">
        <w:t>refine its course design, optimise pricing strategies, and in</w:t>
      </w:r>
      <w:r w:rsidR="00EE3173">
        <w:t>tegrate</w:t>
      </w:r>
      <w:r w:rsidR="00630F50" w:rsidRPr="00630F50">
        <w:t xml:space="preserve"> advanced technologies to enhance learner satisfaction and engagement. This strategic approach will position the university's online learning platform to effectively compete in the dynamic and rapidly evolving global online education market.</w:t>
      </w:r>
    </w:p>
    <w:p w14:paraId="3ACBF7B9" w14:textId="2BED47CD" w:rsidR="00631C9D" w:rsidRPr="00EC248A" w:rsidRDefault="00631C9D" w:rsidP="00620BBC">
      <w:pPr>
        <w:spacing w:after="120" w:line="240" w:lineRule="auto"/>
        <w:rPr>
          <w:b/>
          <w:bCs/>
        </w:rPr>
      </w:pPr>
      <w:r w:rsidRPr="00EC248A">
        <w:rPr>
          <w:b/>
          <w:bCs/>
        </w:rPr>
        <w:t xml:space="preserve">Business </w:t>
      </w:r>
      <w:r w:rsidR="00BA000B">
        <w:rPr>
          <w:b/>
          <w:bCs/>
        </w:rPr>
        <w:t>q</w:t>
      </w:r>
      <w:r w:rsidRPr="00EC248A">
        <w:rPr>
          <w:b/>
          <w:bCs/>
        </w:rPr>
        <w:t>uestions</w:t>
      </w:r>
    </w:p>
    <w:p w14:paraId="3DEB43DB" w14:textId="77777777" w:rsidR="00B964F2" w:rsidRDefault="00B964F2" w:rsidP="00620BBC">
      <w:pPr>
        <w:pStyle w:val="ListParagraph"/>
        <w:numPr>
          <w:ilvl w:val="0"/>
          <w:numId w:val="13"/>
        </w:numPr>
        <w:spacing w:after="120" w:line="240" w:lineRule="auto"/>
      </w:pPr>
      <w:r w:rsidRPr="00B964F2">
        <w:t>Which platforms offer the highest-performing courses across key metrics (enrolment, ratings, and completion rates)?</w:t>
      </w:r>
    </w:p>
    <w:p w14:paraId="059705A0" w14:textId="77777777" w:rsidR="00633773" w:rsidRDefault="00633773" w:rsidP="00620BBC">
      <w:pPr>
        <w:pStyle w:val="ListParagraph"/>
        <w:numPr>
          <w:ilvl w:val="0"/>
          <w:numId w:val="12"/>
        </w:numPr>
        <w:spacing w:after="120" w:line="240" w:lineRule="auto"/>
      </w:pPr>
      <w:r w:rsidRPr="00633773">
        <w:t>How do course characteristics such as price, duration, category, and platform influence user satisfaction and enrolment across different platforms?</w:t>
      </w:r>
    </w:p>
    <w:p w14:paraId="0DBF6F2B" w14:textId="77777777" w:rsidR="00786D25" w:rsidRDefault="00786D25" w:rsidP="00620BBC">
      <w:pPr>
        <w:pStyle w:val="ListParagraph"/>
        <w:numPr>
          <w:ilvl w:val="0"/>
          <w:numId w:val="14"/>
        </w:numPr>
        <w:spacing w:after="120" w:line="240" w:lineRule="auto"/>
      </w:pPr>
      <w:r w:rsidRPr="00786D25">
        <w:t>How does pricing affect enrolments and ratings?</w:t>
      </w:r>
    </w:p>
    <w:p w14:paraId="04188643" w14:textId="77777777" w:rsidR="00875B58" w:rsidRDefault="00ED483C" w:rsidP="00620BBC">
      <w:pPr>
        <w:pStyle w:val="ListParagraph"/>
        <w:numPr>
          <w:ilvl w:val="0"/>
          <w:numId w:val="14"/>
        </w:numPr>
        <w:spacing w:after="120" w:line="240" w:lineRule="auto"/>
      </w:pPr>
      <w:r>
        <w:t>Are shorter courses generally associated with higher completion rates?</w:t>
      </w:r>
    </w:p>
    <w:p w14:paraId="3BE37050" w14:textId="77777777" w:rsidR="004F4B1E" w:rsidRDefault="004049A1" w:rsidP="00620BBC">
      <w:pPr>
        <w:pStyle w:val="ListParagraph"/>
        <w:numPr>
          <w:ilvl w:val="0"/>
          <w:numId w:val="12"/>
        </w:numPr>
        <w:spacing w:after="120" w:line="240" w:lineRule="auto"/>
      </w:pPr>
      <w:r w:rsidRPr="004049A1">
        <w:t>Which skills are most in-demand across different platforms, and how do they perform in terms of ratings and enrolment?</w:t>
      </w:r>
      <w:r w:rsidR="004F4B1E">
        <w:br/>
      </w:r>
      <w:r w:rsidR="004F4B1E">
        <w:br/>
      </w:r>
    </w:p>
    <w:p w14:paraId="545511B6" w14:textId="1060DBB7" w:rsidR="001F43ED" w:rsidRPr="00140125" w:rsidRDefault="004F4B1E" w:rsidP="00620BBC">
      <w:pPr>
        <w:pStyle w:val="Heading1"/>
        <w:numPr>
          <w:ilvl w:val="0"/>
          <w:numId w:val="12"/>
        </w:numPr>
        <w:spacing w:before="0" w:after="120"/>
      </w:pPr>
      <w:r>
        <w:br w:type="page"/>
      </w:r>
      <w:bookmarkStart w:id="2" w:name="_Toc194084537"/>
      <w:r w:rsidR="00BB18AE" w:rsidRPr="00140125">
        <w:lastRenderedPageBreak/>
        <w:t>Data</w:t>
      </w:r>
      <w:r w:rsidR="00EC248A" w:rsidRPr="00140125">
        <w:t>set description</w:t>
      </w:r>
      <w:bookmarkEnd w:id="2"/>
    </w:p>
    <w:p w14:paraId="5E9568C1" w14:textId="77777777" w:rsidR="0027219A" w:rsidRPr="004C0971" w:rsidRDefault="000079D3" w:rsidP="00620BBC">
      <w:pPr>
        <w:spacing w:after="120" w:line="240" w:lineRule="auto"/>
        <w:rPr>
          <w:b/>
          <w:bCs/>
        </w:rPr>
      </w:pPr>
      <w:r w:rsidRPr="000079D3">
        <w:t>This dataset includes detailed information about 10,000 online courses</w:t>
      </w:r>
      <w:r w:rsidR="00A1639A" w:rsidRPr="00A1639A">
        <w:t>, including attributes such as course ID, name, category, duration, enrolment, completion rate, platform, price, and rating. It provides a</w:t>
      </w:r>
      <w:r w:rsidR="00D014AA">
        <w:t>n overview</w:t>
      </w:r>
      <w:r w:rsidR="00A1639A" w:rsidRPr="00A1639A">
        <w:t xml:space="preserve"> of various online courses across different platforms and categories.</w:t>
      </w:r>
      <w:r w:rsidR="00FA30DC">
        <w:br/>
      </w:r>
      <w:r w:rsidR="00495792" w:rsidRPr="004C0971">
        <w:rPr>
          <w:b/>
          <w:bCs/>
        </w:rPr>
        <w:t>Data source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1134"/>
        <w:gridCol w:w="2522"/>
        <w:gridCol w:w="1021"/>
        <w:gridCol w:w="1134"/>
        <w:gridCol w:w="1134"/>
      </w:tblGrid>
      <w:tr w:rsidR="003C6343" w:rsidRPr="00225753" w14:paraId="0039B6E8" w14:textId="77777777" w:rsidTr="00E138C3">
        <w:tc>
          <w:tcPr>
            <w:tcW w:w="1129" w:type="dxa"/>
            <w:shd w:val="clear" w:color="auto" w:fill="auto"/>
          </w:tcPr>
          <w:p w14:paraId="24E0A029" w14:textId="77777777" w:rsidR="003C6343" w:rsidRPr="00225753" w:rsidRDefault="003C6343" w:rsidP="00620BBC">
            <w:pPr>
              <w:spacing w:after="120" w:line="240" w:lineRule="auto"/>
              <w:rPr>
                <w:b/>
                <w:bCs/>
              </w:rPr>
            </w:pPr>
            <w:r w:rsidRPr="00225753">
              <w:rPr>
                <w:b/>
                <w:bCs/>
              </w:rPr>
              <w:t>Name of dataset</w:t>
            </w:r>
          </w:p>
        </w:tc>
        <w:tc>
          <w:tcPr>
            <w:tcW w:w="993" w:type="dxa"/>
            <w:shd w:val="clear" w:color="auto" w:fill="auto"/>
          </w:tcPr>
          <w:p w14:paraId="586D1BE3" w14:textId="77777777" w:rsidR="003C6343" w:rsidRPr="00225753" w:rsidRDefault="003C6343" w:rsidP="00620BBC">
            <w:pPr>
              <w:spacing w:after="120" w:line="240" w:lineRule="auto"/>
              <w:rPr>
                <w:b/>
                <w:bCs/>
              </w:rPr>
            </w:pPr>
            <w:r w:rsidRPr="00225753">
              <w:rPr>
                <w:b/>
                <w:bCs/>
              </w:rPr>
              <w:t>Number of columns</w:t>
            </w:r>
          </w:p>
        </w:tc>
        <w:tc>
          <w:tcPr>
            <w:tcW w:w="1134" w:type="dxa"/>
            <w:shd w:val="clear" w:color="auto" w:fill="auto"/>
          </w:tcPr>
          <w:p w14:paraId="0F02C2A4" w14:textId="77777777" w:rsidR="003C6343" w:rsidRPr="00225753" w:rsidRDefault="003C6343" w:rsidP="00620BBC">
            <w:pPr>
              <w:spacing w:after="120" w:line="240" w:lineRule="auto"/>
              <w:rPr>
                <w:b/>
                <w:bCs/>
              </w:rPr>
            </w:pPr>
            <w:r w:rsidRPr="00225753">
              <w:rPr>
                <w:b/>
                <w:bCs/>
              </w:rPr>
              <w:t>Number of courses</w:t>
            </w:r>
          </w:p>
        </w:tc>
        <w:tc>
          <w:tcPr>
            <w:tcW w:w="2522" w:type="dxa"/>
            <w:shd w:val="clear" w:color="auto" w:fill="auto"/>
          </w:tcPr>
          <w:p w14:paraId="77F1CDA4" w14:textId="77777777" w:rsidR="003C6343" w:rsidRPr="00225753" w:rsidRDefault="003C6343" w:rsidP="00620BBC">
            <w:pPr>
              <w:spacing w:after="120" w:line="240" w:lineRule="auto"/>
              <w:rPr>
                <w:b/>
                <w:bCs/>
              </w:rPr>
            </w:pPr>
            <w:r w:rsidRPr="00225753">
              <w:rPr>
                <w:b/>
                <w:bCs/>
              </w:rPr>
              <w:t>Source</w:t>
            </w:r>
          </w:p>
        </w:tc>
        <w:tc>
          <w:tcPr>
            <w:tcW w:w="1021" w:type="dxa"/>
            <w:shd w:val="clear" w:color="auto" w:fill="auto"/>
          </w:tcPr>
          <w:p w14:paraId="126AF209" w14:textId="77777777" w:rsidR="003C6343" w:rsidRPr="00225753" w:rsidRDefault="003C6343" w:rsidP="00620BBC">
            <w:pPr>
              <w:spacing w:after="120" w:line="240" w:lineRule="auto"/>
              <w:rPr>
                <w:b/>
                <w:bCs/>
              </w:rPr>
            </w:pPr>
            <w:r w:rsidRPr="00225753">
              <w:rPr>
                <w:b/>
                <w:bCs/>
              </w:rPr>
              <w:t>Data type</w:t>
            </w:r>
          </w:p>
        </w:tc>
        <w:tc>
          <w:tcPr>
            <w:tcW w:w="1134" w:type="dxa"/>
            <w:shd w:val="clear" w:color="auto" w:fill="auto"/>
          </w:tcPr>
          <w:p w14:paraId="2BD3F4A6" w14:textId="77777777" w:rsidR="003C6343" w:rsidRPr="00225753" w:rsidRDefault="003C6343" w:rsidP="00620BBC">
            <w:pPr>
              <w:spacing w:after="120" w:line="240" w:lineRule="auto"/>
              <w:rPr>
                <w:b/>
                <w:bCs/>
              </w:rPr>
            </w:pPr>
            <w:r w:rsidRPr="00225753">
              <w:rPr>
                <w:b/>
                <w:bCs/>
              </w:rPr>
              <w:t>Data size</w:t>
            </w:r>
          </w:p>
        </w:tc>
        <w:tc>
          <w:tcPr>
            <w:tcW w:w="1134" w:type="dxa"/>
            <w:shd w:val="clear" w:color="auto" w:fill="auto"/>
          </w:tcPr>
          <w:p w14:paraId="7D5D52AD" w14:textId="77777777" w:rsidR="003C6343" w:rsidRPr="00225753" w:rsidRDefault="003C6343" w:rsidP="00620BBC">
            <w:pPr>
              <w:spacing w:after="120" w:line="240" w:lineRule="auto"/>
              <w:rPr>
                <w:b/>
                <w:bCs/>
              </w:rPr>
            </w:pPr>
            <w:r w:rsidRPr="00225753">
              <w:rPr>
                <w:b/>
                <w:bCs/>
              </w:rPr>
              <w:t>Published</w:t>
            </w:r>
          </w:p>
        </w:tc>
      </w:tr>
      <w:tr w:rsidR="003C6343" w:rsidRPr="00225753" w14:paraId="15AC3665" w14:textId="77777777" w:rsidTr="00E138C3">
        <w:tc>
          <w:tcPr>
            <w:tcW w:w="1129" w:type="dxa"/>
            <w:shd w:val="clear" w:color="auto" w:fill="auto"/>
          </w:tcPr>
          <w:p w14:paraId="412A7FBA" w14:textId="77777777" w:rsidR="003C6343" w:rsidRPr="00225753" w:rsidRDefault="003C6343" w:rsidP="00620BBC">
            <w:pPr>
              <w:spacing w:after="120" w:line="240" w:lineRule="auto"/>
            </w:pPr>
            <w:r w:rsidRPr="00225753">
              <w:t>Online courses usage and history</w:t>
            </w:r>
          </w:p>
        </w:tc>
        <w:tc>
          <w:tcPr>
            <w:tcW w:w="993" w:type="dxa"/>
            <w:shd w:val="clear" w:color="auto" w:fill="auto"/>
          </w:tcPr>
          <w:p w14:paraId="1672EB2D" w14:textId="77777777" w:rsidR="003C6343" w:rsidRPr="00225753" w:rsidRDefault="003C6343" w:rsidP="00620BBC">
            <w:pPr>
              <w:spacing w:after="120" w:line="240" w:lineRule="auto"/>
            </w:pPr>
            <w:r w:rsidRPr="00225753">
              <w:t>9</w:t>
            </w:r>
          </w:p>
        </w:tc>
        <w:tc>
          <w:tcPr>
            <w:tcW w:w="1134" w:type="dxa"/>
            <w:shd w:val="clear" w:color="auto" w:fill="auto"/>
          </w:tcPr>
          <w:p w14:paraId="206B83F3" w14:textId="77777777" w:rsidR="003C6343" w:rsidRPr="00225753" w:rsidRDefault="003C6343" w:rsidP="00620BBC">
            <w:pPr>
              <w:spacing w:after="120" w:line="240" w:lineRule="auto"/>
            </w:pPr>
            <w:r w:rsidRPr="00225753">
              <w:t>10,000</w:t>
            </w:r>
          </w:p>
        </w:tc>
        <w:tc>
          <w:tcPr>
            <w:tcW w:w="2522" w:type="dxa"/>
            <w:shd w:val="clear" w:color="auto" w:fill="auto"/>
          </w:tcPr>
          <w:p w14:paraId="57B1B49A" w14:textId="77777777" w:rsidR="003C6343" w:rsidRPr="00225753" w:rsidRDefault="003C6343" w:rsidP="00620BBC">
            <w:pPr>
              <w:spacing w:after="120" w:line="240" w:lineRule="auto"/>
            </w:pPr>
            <w:hyperlink r:id="rId12" w:history="1">
              <w:r w:rsidRPr="00225753">
                <w:rPr>
                  <w:rStyle w:val="Hyperlink"/>
                </w:rPr>
                <w:t>https://www.kaggle.com/datasets/mitul1999/online-courses-usage-and-history-dataset</w:t>
              </w:r>
            </w:hyperlink>
          </w:p>
          <w:p w14:paraId="576A620B" w14:textId="77777777" w:rsidR="003C6343" w:rsidRPr="00225753" w:rsidRDefault="003C6343" w:rsidP="00620BBC">
            <w:pPr>
              <w:spacing w:after="120" w:line="240" w:lineRule="auto"/>
            </w:pPr>
          </w:p>
        </w:tc>
        <w:tc>
          <w:tcPr>
            <w:tcW w:w="1021" w:type="dxa"/>
            <w:shd w:val="clear" w:color="auto" w:fill="auto"/>
          </w:tcPr>
          <w:p w14:paraId="274021A1" w14:textId="77777777" w:rsidR="003C6343" w:rsidRPr="00225753" w:rsidRDefault="003C6343" w:rsidP="00620BBC">
            <w:pPr>
              <w:spacing w:after="120" w:line="240" w:lineRule="auto"/>
            </w:pPr>
            <w:r w:rsidRPr="00225753">
              <w:t>CSV format</w:t>
            </w:r>
          </w:p>
        </w:tc>
        <w:tc>
          <w:tcPr>
            <w:tcW w:w="1134" w:type="dxa"/>
            <w:shd w:val="clear" w:color="auto" w:fill="auto"/>
          </w:tcPr>
          <w:p w14:paraId="6256EAF6" w14:textId="77777777" w:rsidR="003C6343" w:rsidRPr="00225753" w:rsidRDefault="003C6343" w:rsidP="00620BBC">
            <w:pPr>
              <w:spacing w:after="120" w:line="240" w:lineRule="auto"/>
            </w:pPr>
            <w:r w:rsidRPr="00225753">
              <w:t>781 KB</w:t>
            </w:r>
          </w:p>
          <w:p w14:paraId="3B80D887" w14:textId="77777777" w:rsidR="003C6343" w:rsidRPr="00225753" w:rsidRDefault="003C6343" w:rsidP="00620BBC">
            <w:pPr>
              <w:spacing w:after="120" w:line="240" w:lineRule="auto"/>
            </w:pPr>
          </w:p>
        </w:tc>
        <w:tc>
          <w:tcPr>
            <w:tcW w:w="1134" w:type="dxa"/>
            <w:shd w:val="clear" w:color="auto" w:fill="auto"/>
          </w:tcPr>
          <w:p w14:paraId="58FF81DE" w14:textId="77777777" w:rsidR="003C6343" w:rsidRPr="00225753" w:rsidRDefault="003C6343" w:rsidP="00620BBC">
            <w:pPr>
              <w:spacing w:after="120" w:line="240" w:lineRule="auto"/>
            </w:pPr>
            <w:r w:rsidRPr="00225753">
              <w:t>2024</w:t>
            </w:r>
          </w:p>
          <w:p w14:paraId="5D25FEC8" w14:textId="77777777" w:rsidR="003C6343" w:rsidRPr="00225753" w:rsidRDefault="003C6343" w:rsidP="00620BBC">
            <w:pPr>
              <w:spacing w:after="120" w:line="240" w:lineRule="auto"/>
            </w:pPr>
          </w:p>
        </w:tc>
      </w:tr>
    </w:tbl>
    <w:p w14:paraId="098995F8" w14:textId="38B70076" w:rsidR="00044C53" w:rsidRDefault="00044C53" w:rsidP="00620BBC">
      <w:pPr>
        <w:spacing w:after="120" w:line="240" w:lineRule="auto"/>
        <w:rPr>
          <w:b/>
          <w:bCs/>
        </w:rPr>
      </w:pPr>
      <w:r w:rsidRPr="004C0971">
        <w:rPr>
          <w:b/>
          <w:bCs/>
        </w:rPr>
        <w:t>Data variables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1701"/>
        <w:gridCol w:w="1559"/>
        <w:gridCol w:w="1701"/>
      </w:tblGrid>
      <w:tr w:rsidR="00291D3A" w:rsidRPr="00225753" w14:paraId="0C602E67" w14:textId="77777777" w:rsidTr="005F2C6E">
        <w:trPr>
          <w:tblHeader/>
        </w:trPr>
        <w:tc>
          <w:tcPr>
            <w:tcW w:w="2405" w:type="dxa"/>
            <w:vMerge w:val="restart"/>
            <w:shd w:val="clear" w:color="auto" w:fill="auto"/>
          </w:tcPr>
          <w:p w14:paraId="7E4AEEFB" w14:textId="77777777" w:rsidR="00291D3A" w:rsidRPr="00225753" w:rsidRDefault="00291D3A" w:rsidP="00620BBC">
            <w:pPr>
              <w:spacing w:after="120" w:line="240" w:lineRule="auto"/>
              <w:rPr>
                <w:b/>
                <w:bCs/>
              </w:rPr>
            </w:pPr>
            <w:r w:rsidRPr="00225753">
              <w:rPr>
                <w:b/>
                <w:bCs/>
              </w:rPr>
              <w:t>Data variables</w:t>
            </w:r>
          </w:p>
        </w:tc>
        <w:tc>
          <w:tcPr>
            <w:tcW w:w="6662" w:type="dxa"/>
            <w:gridSpan w:val="4"/>
            <w:shd w:val="clear" w:color="auto" w:fill="auto"/>
          </w:tcPr>
          <w:p w14:paraId="1BBF139D" w14:textId="77777777" w:rsidR="00291D3A" w:rsidRPr="00225753" w:rsidRDefault="00291D3A" w:rsidP="00620BBC">
            <w:pPr>
              <w:spacing w:after="120" w:line="240" w:lineRule="auto"/>
              <w:rPr>
                <w:b/>
                <w:bCs/>
              </w:rPr>
            </w:pPr>
            <w:r w:rsidRPr="00225753">
              <w:rPr>
                <w:b/>
                <w:bCs/>
              </w:rPr>
              <w:t>Types of variables</w:t>
            </w:r>
          </w:p>
        </w:tc>
      </w:tr>
      <w:tr w:rsidR="00291D3A" w:rsidRPr="00225753" w14:paraId="163C131E" w14:textId="77777777" w:rsidTr="005F2C6E">
        <w:trPr>
          <w:tblHeader/>
        </w:trPr>
        <w:tc>
          <w:tcPr>
            <w:tcW w:w="2405" w:type="dxa"/>
            <w:vMerge/>
            <w:shd w:val="clear" w:color="auto" w:fill="auto"/>
          </w:tcPr>
          <w:p w14:paraId="60E0DA04" w14:textId="77777777" w:rsidR="00291D3A" w:rsidRPr="00225753" w:rsidRDefault="00291D3A" w:rsidP="00620BBC">
            <w:pPr>
              <w:spacing w:after="120" w:line="240" w:lineRule="auto"/>
            </w:pPr>
          </w:p>
        </w:tc>
        <w:tc>
          <w:tcPr>
            <w:tcW w:w="3402" w:type="dxa"/>
            <w:gridSpan w:val="2"/>
            <w:shd w:val="clear" w:color="auto" w:fill="auto"/>
          </w:tcPr>
          <w:p w14:paraId="2D18B8ED" w14:textId="77777777" w:rsidR="00291D3A" w:rsidRPr="00225753" w:rsidRDefault="00291D3A" w:rsidP="00620BBC">
            <w:pPr>
              <w:spacing w:after="120" w:line="240" w:lineRule="auto"/>
              <w:rPr>
                <w:b/>
                <w:bCs/>
              </w:rPr>
            </w:pPr>
            <w:r w:rsidRPr="00225753">
              <w:rPr>
                <w:b/>
                <w:bCs/>
              </w:rPr>
              <w:t>Categorical</w:t>
            </w:r>
          </w:p>
        </w:tc>
        <w:tc>
          <w:tcPr>
            <w:tcW w:w="3260" w:type="dxa"/>
            <w:gridSpan w:val="2"/>
            <w:shd w:val="clear" w:color="auto" w:fill="auto"/>
          </w:tcPr>
          <w:p w14:paraId="287B1E09" w14:textId="77777777" w:rsidR="00291D3A" w:rsidRPr="00225753" w:rsidRDefault="00291D3A" w:rsidP="00620BBC">
            <w:pPr>
              <w:spacing w:after="120" w:line="240" w:lineRule="auto"/>
              <w:rPr>
                <w:b/>
                <w:bCs/>
              </w:rPr>
            </w:pPr>
            <w:r w:rsidRPr="00225753">
              <w:rPr>
                <w:b/>
                <w:bCs/>
              </w:rPr>
              <w:t>Numerical</w:t>
            </w:r>
          </w:p>
        </w:tc>
      </w:tr>
      <w:tr w:rsidR="00A53479" w:rsidRPr="00225753" w14:paraId="11282FA0" w14:textId="77777777" w:rsidTr="005F2C6E">
        <w:trPr>
          <w:tblHeader/>
        </w:trPr>
        <w:tc>
          <w:tcPr>
            <w:tcW w:w="2405" w:type="dxa"/>
            <w:vMerge/>
            <w:shd w:val="clear" w:color="auto" w:fill="auto"/>
          </w:tcPr>
          <w:p w14:paraId="19B62331" w14:textId="77777777" w:rsidR="00291D3A" w:rsidRPr="00225753" w:rsidRDefault="00291D3A" w:rsidP="00620BBC">
            <w:pPr>
              <w:spacing w:after="120" w:line="240" w:lineRule="auto"/>
            </w:pPr>
          </w:p>
        </w:tc>
        <w:tc>
          <w:tcPr>
            <w:tcW w:w="1701" w:type="dxa"/>
            <w:shd w:val="clear" w:color="auto" w:fill="auto"/>
          </w:tcPr>
          <w:p w14:paraId="7B70D89A" w14:textId="77777777" w:rsidR="00291D3A" w:rsidRPr="00225753" w:rsidRDefault="00291D3A" w:rsidP="00620BBC">
            <w:pPr>
              <w:spacing w:after="120" w:line="240" w:lineRule="auto"/>
            </w:pPr>
            <w:r w:rsidRPr="00225753">
              <w:t>Nominal</w:t>
            </w:r>
          </w:p>
        </w:tc>
        <w:tc>
          <w:tcPr>
            <w:tcW w:w="1701" w:type="dxa"/>
            <w:shd w:val="clear" w:color="auto" w:fill="auto"/>
          </w:tcPr>
          <w:p w14:paraId="333288ED" w14:textId="77777777" w:rsidR="00291D3A" w:rsidRPr="00225753" w:rsidRDefault="00291D3A" w:rsidP="00620BBC">
            <w:pPr>
              <w:spacing w:after="120" w:line="240" w:lineRule="auto"/>
            </w:pPr>
            <w:r w:rsidRPr="00225753">
              <w:t>Ordinal</w:t>
            </w:r>
          </w:p>
        </w:tc>
        <w:tc>
          <w:tcPr>
            <w:tcW w:w="1559" w:type="dxa"/>
            <w:shd w:val="clear" w:color="auto" w:fill="auto"/>
          </w:tcPr>
          <w:p w14:paraId="34BBC50A" w14:textId="77777777" w:rsidR="00291D3A" w:rsidRPr="00225753" w:rsidRDefault="00291D3A" w:rsidP="00620BBC">
            <w:pPr>
              <w:spacing w:after="120" w:line="240" w:lineRule="auto"/>
            </w:pPr>
            <w:r w:rsidRPr="00225753">
              <w:t>Interval</w:t>
            </w:r>
          </w:p>
        </w:tc>
        <w:tc>
          <w:tcPr>
            <w:tcW w:w="1701" w:type="dxa"/>
            <w:shd w:val="clear" w:color="auto" w:fill="auto"/>
          </w:tcPr>
          <w:p w14:paraId="2282DB6A" w14:textId="77777777" w:rsidR="00291D3A" w:rsidRPr="00225753" w:rsidRDefault="00291D3A" w:rsidP="00620BBC">
            <w:pPr>
              <w:spacing w:after="120" w:line="240" w:lineRule="auto"/>
            </w:pPr>
            <w:r w:rsidRPr="00225753">
              <w:t>Ratio</w:t>
            </w:r>
          </w:p>
        </w:tc>
      </w:tr>
      <w:tr w:rsidR="00A53479" w:rsidRPr="00225753" w14:paraId="4339FACA" w14:textId="77777777" w:rsidTr="00197AAA">
        <w:trPr>
          <w:trHeight w:val="980"/>
        </w:trPr>
        <w:tc>
          <w:tcPr>
            <w:tcW w:w="2405" w:type="dxa"/>
            <w:shd w:val="clear" w:color="auto" w:fill="auto"/>
          </w:tcPr>
          <w:p w14:paraId="4DB7D6DB" w14:textId="77777777" w:rsidR="004F604D" w:rsidRPr="00225753" w:rsidRDefault="004F604D" w:rsidP="00620BBC">
            <w:pPr>
              <w:spacing w:after="120" w:line="240" w:lineRule="auto"/>
            </w:pPr>
            <w:r w:rsidRPr="00225753">
              <w:t>Course</w:t>
            </w:r>
            <w:r w:rsidR="003E584A" w:rsidRPr="00225753">
              <w:t xml:space="preserve"> </w:t>
            </w:r>
            <w:r w:rsidRPr="00225753">
              <w:t>ID</w:t>
            </w:r>
            <w:r w:rsidR="005656C3" w:rsidRPr="00225753">
              <w:t xml:space="preserve"> (A unique identifier for each course)</w:t>
            </w:r>
          </w:p>
        </w:tc>
        <w:tc>
          <w:tcPr>
            <w:tcW w:w="1701" w:type="dxa"/>
            <w:shd w:val="clear" w:color="auto" w:fill="D9E2F3"/>
          </w:tcPr>
          <w:p w14:paraId="20BA5F36" w14:textId="77777777" w:rsidR="004F604D" w:rsidRPr="00225753" w:rsidRDefault="004F604D" w:rsidP="00620BBC">
            <w:pPr>
              <w:spacing w:after="120" w:line="240" w:lineRule="auto"/>
              <w:rPr>
                <w:color w:val="44546A"/>
              </w:rPr>
            </w:pPr>
          </w:p>
        </w:tc>
        <w:tc>
          <w:tcPr>
            <w:tcW w:w="1701" w:type="dxa"/>
            <w:shd w:val="clear" w:color="auto" w:fill="auto"/>
          </w:tcPr>
          <w:p w14:paraId="28E35151" w14:textId="77777777" w:rsidR="004F604D" w:rsidRPr="00225753" w:rsidRDefault="004F604D" w:rsidP="00620BBC">
            <w:pPr>
              <w:spacing w:after="120" w:line="240" w:lineRule="auto"/>
            </w:pPr>
          </w:p>
        </w:tc>
        <w:tc>
          <w:tcPr>
            <w:tcW w:w="1559" w:type="dxa"/>
            <w:shd w:val="clear" w:color="auto" w:fill="auto"/>
          </w:tcPr>
          <w:p w14:paraId="33B35AD5" w14:textId="77777777" w:rsidR="004F604D" w:rsidRPr="00225753" w:rsidRDefault="004F604D" w:rsidP="00620BBC">
            <w:pPr>
              <w:spacing w:after="120" w:line="240" w:lineRule="auto"/>
            </w:pPr>
          </w:p>
        </w:tc>
        <w:tc>
          <w:tcPr>
            <w:tcW w:w="1701" w:type="dxa"/>
            <w:shd w:val="clear" w:color="auto" w:fill="auto"/>
          </w:tcPr>
          <w:p w14:paraId="02B05F05" w14:textId="77777777" w:rsidR="004F604D" w:rsidRPr="00225753" w:rsidRDefault="004F604D" w:rsidP="00620BBC">
            <w:pPr>
              <w:spacing w:after="120" w:line="240" w:lineRule="auto"/>
            </w:pPr>
          </w:p>
        </w:tc>
      </w:tr>
      <w:tr w:rsidR="00A53479" w:rsidRPr="00225753" w14:paraId="4795BF02" w14:textId="77777777" w:rsidTr="00225753">
        <w:tc>
          <w:tcPr>
            <w:tcW w:w="2405" w:type="dxa"/>
            <w:shd w:val="clear" w:color="auto" w:fill="auto"/>
          </w:tcPr>
          <w:p w14:paraId="2256E52A" w14:textId="77777777" w:rsidR="004F604D" w:rsidRPr="00225753" w:rsidRDefault="004F604D" w:rsidP="00620BBC">
            <w:pPr>
              <w:spacing w:after="120" w:line="240" w:lineRule="auto"/>
            </w:pPr>
            <w:r w:rsidRPr="00225753">
              <w:t>Course</w:t>
            </w:r>
            <w:r w:rsidR="003E584A" w:rsidRPr="00225753">
              <w:t xml:space="preserve"> </w:t>
            </w:r>
            <w:r w:rsidRPr="00225753">
              <w:t>Name</w:t>
            </w:r>
            <w:r w:rsidR="005656C3" w:rsidRPr="00225753">
              <w:t xml:space="preserve"> (The name of the course)</w:t>
            </w:r>
          </w:p>
        </w:tc>
        <w:tc>
          <w:tcPr>
            <w:tcW w:w="1701" w:type="dxa"/>
            <w:shd w:val="clear" w:color="auto" w:fill="D9E2F3"/>
          </w:tcPr>
          <w:p w14:paraId="7AA23533" w14:textId="77777777" w:rsidR="004F604D" w:rsidRPr="00225753" w:rsidRDefault="004F604D" w:rsidP="00620BBC">
            <w:pPr>
              <w:spacing w:after="120" w:line="240" w:lineRule="auto"/>
              <w:rPr>
                <w:color w:val="44546A"/>
              </w:rPr>
            </w:pPr>
          </w:p>
        </w:tc>
        <w:tc>
          <w:tcPr>
            <w:tcW w:w="1701" w:type="dxa"/>
            <w:shd w:val="clear" w:color="auto" w:fill="auto"/>
          </w:tcPr>
          <w:p w14:paraId="3BDFE787" w14:textId="77777777" w:rsidR="004F604D" w:rsidRPr="00225753" w:rsidRDefault="004F604D" w:rsidP="00620BBC">
            <w:pPr>
              <w:spacing w:after="120" w:line="240" w:lineRule="auto"/>
            </w:pPr>
          </w:p>
        </w:tc>
        <w:tc>
          <w:tcPr>
            <w:tcW w:w="1559" w:type="dxa"/>
            <w:shd w:val="clear" w:color="auto" w:fill="auto"/>
          </w:tcPr>
          <w:p w14:paraId="17C20594" w14:textId="77777777" w:rsidR="004F604D" w:rsidRPr="00225753" w:rsidRDefault="004F604D" w:rsidP="00620BBC">
            <w:pPr>
              <w:spacing w:after="120" w:line="240" w:lineRule="auto"/>
            </w:pPr>
          </w:p>
        </w:tc>
        <w:tc>
          <w:tcPr>
            <w:tcW w:w="1701" w:type="dxa"/>
            <w:shd w:val="clear" w:color="auto" w:fill="auto"/>
          </w:tcPr>
          <w:p w14:paraId="095CC8F3" w14:textId="77777777" w:rsidR="004F604D" w:rsidRPr="00225753" w:rsidRDefault="004F604D" w:rsidP="00620BBC">
            <w:pPr>
              <w:spacing w:after="120" w:line="240" w:lineRule="auto"/>
            </w:pPr>
          </w:p>
        </w:tc>
      </w:tr>
      <w:tr w:rsidR="00A53479" w:rsidRPr="00225753" w14:paraId="1E199A32" w14:textId="77777777" w:rsidTr="00225753">
        <w:tc>
          <w:tcPr>
            <w:tcW w:w="2405" w:type="dxa"/>
            <w:shd w:val="clear" w:color="auto" w:fill="auto"/>
          </w:tcPr>
          <w:p w14:paraId="56CD9A6C" w14:textId="77777777" w:rsidR="004F604D" w:rsidRPr="00225753" w:rsidRDefault="004F604D" w:rsidP="00620BBC">
            <w:pPr>
              <w:spacing w:after="120" w:line="240" w:lineRule="auto"/>
            </w:pPr>
            <w:r w:rsidRPr="00225753">
              <w:t>Category</w:t>
            </w:r>
            <w:r w:rsidR="005656C3" w:rsidRPr="00225753">
              <w:t xml:space="preserve"> (The category under which the course falls (e.g., Technology, Office Tools, AI, Business, Design, Data Science, and Programming).</w:t>
            </w:r>
          </w:p>
        </w:tc>
        <w:tc>
          <w:tcPr>
            <w:tcW w:w="1701" w:type="dxa"/>
            <w:shd w:val="clear" w:color="auto" w:fill="D9E2F3"/>
          </w:tcPr>
          <w:p w14:paraId="28AA1440" w14:textId="77777777" w:rsidR="004F604D" w:rsidRPr="00225753" w:rsidRDefault="004F604D" w:rsidP="00620BBC">
            <w:pPr>
              <w:spacing w:after="120" w:line="240" w:lineRule="auto"/>
            </w:pPr>
          </w:p>
        </w:tc>
        <w:tc>
          <w:tcPr>
            <w:tcW w:w="1701" w:type="dxa"/>
            <w:shd w:val="clear" w:color="auto" w:fill="auto"/>
          </w:tcPr>
          <w:p w14:paraId="1FD7AE1F" w14:textId="77777777" w:rsidR="004F604D" w:rsidRPr="00225753" w:rsidRDefault="004F604D" w:rsidP="00620BBC">
            <w:pPr>
              <w:spacing w:after="120" w:line="240" w:lineRule="auto"/>
            </w:pPr>
          </w:p>
        </w:tc>
        <w:tc>
          <w:tcPr>
            <w:tcW w:w="1559" w:type="dxa"/>
            <w:shd w:val="clear" w:color="auto" w:fill="auto"/>
          </w:tcPr>
          <w:p w14:paraId="303FB10E" w14:textId="77777777" w:rsidR="004F604D" w:rsidRPr="00225753" w:rsidRDefault="004F604D" w:rsidP="00620BBC">
            <w:pPr>
              <w:spacing w:after="120" w:line="240" w:lineRule="auto"/>
            </w:pPr>
          </w:p>
        </w:tc>
        <w:tc>
          <w:tcPr>
            <w:tcW w:w="1701" w:type="dxa"/>
            <w:shd w:val="clear" w:color="auto" w:fill="auto"/>
          </w:tcPr>
          <w:p w14:paraId="16783F1B" w14:textId="77777777" w:rsidR="004F604D" w:rsidRPr="00225753" w:rsidRDefault="004F604D" w:rsidP="00620BBC">
            <w:pPr>
              <w:spacing w:after="120" w:line="240" w:lineRule="auto"/>
            </w:pPr>
          </w:p>
        </w:tc>
      </w:tr>
      <w:tr w:rsidR="00A53479" w:rsidRPr="00225753" w14:paraId="7F5B20D7" w14:textId="77777777" w:rsidTr="00225753">
        <w:tc>
          <w:tcPr>
            <w:tcW w:w="2405" w:type="dxa"/>
            <w:shd w:val="clear" w:color="auto" w:fill="auto"/>
          </w:tcPr>
          <w:p w14:paraId="573D2A28" w14:textId="77777777" w:rsidR="004F604D" w:rsidRPr="00225753" w:rsidRDefault="004F604D" w:rsidP="00620BBC">
            <w:pPr>
              <w:spacing w:after="120" w:line="240" w:lineRule="auto"/>
            </w:pPr>
            <w:r w:rsidRPr="00225753">
              <w:t>Duration</w:t>
            </w:r>
            <w:r w:rsidR="00251D09" w:rsidRPr="00225753">
              <w:t xml:space="preserve"> (The total duration of the course in hours)</w:t>
            </w:r>
          </w:p>
        </w:tc>
        <w:tc>
          <w:tcPr>
            <w:tcW w:w="1701" w:type="dxa"/>
            <w:shd w:val="clear" w:color="auto" w:fill="auto"/>
          </w:tcPr>
          <w:p w14:paraId="608730FF" w14:textId="77777777" w:rsidR="004F604D" w:rsidRPr="00225753" w:rsidRDefault="004F604D" w:rsidP="00620BBC">
            <w:pPr>
              <w:spacing w:after="120" w:line="240" w:lineRule="auto"/>
            </w:pPr>
          </w:p>
        </w:tc>
        <w:tc>
          <w:tcPr>
            <w:tcW w:w="1701" w:type="dxa"/>
            <w:shd w:val="clear" w:color="auto" w:fill="auto"/>
          </w:tcPr>
          <w:p w14:paraId="3D6F9921" w14:textId="77777777" w:rsidR="004F604D" w:rsidRPr="00225753" w:rsidRDefault="004F604D" w:rsidP="00620BBC">
            <w:pPr>
              <w:spacing w:after="120" w:line="240" w:lineRule="auto"/>
            </w:pPr>
          </w:p>
        </w:tc>
        <w:tc>
          <w:tcPr>
            <w:tcW w:w="1559" w:type="dxa"/>
            <w:shd w:val="clear" w:color="auto" w:fill="auto"/>
          </w:tcPr>
          <w:p w14:paraId="7D524F71" w14:textId="77777777" w:rsidR="004F604D" w:rsidRPr="00225753" w:rsidRDefault="004F604D" w:rsidP="00620BBC">
            <w:pPr>
              <w:spacing w:after="120" w:line="240" w:lineRule="auto"/>
            </w:pPr>
          </w:p>
        </w:tc>
        <w:tc>
          <w:tcPr>
            <w:tcW w:w="1701" w:type="dxa"/>
            <w:shd w:val="clear" w:color="auto" w:fill="D9E2F3"/>
          </w:tcPr>
          <w:p w14:paraId="59BE94B1" w14:textId="77777777" w:rsidR="004F604D" w:rsidRPr="00225753" w:rsidRDefault="004F604D" w:rsidP="00620BBC">
            <w:pPr>
              <w:spacing w:after="120" w:line="240" w:lineRule="auto"/>
            </w:pPr>
          </w:p>
        </w:tc>
      </w:tr>
      <w:tr w:rsidR="00A53479" w:rsidRPr="00225753" w14:paraId="057E57A7" w14:textId="77777777" w:rsidTr="00225753">
        <w:tc>
          <w:tcPr>
            <w:tcW w:w="2405" w:type="dxa"/>
            <w:shd w:val="clear" w:color="auto" w:fill="auto"/>
          </w:tcPr>
          <w:p w14:paraId="6607D070" w14:textId="77777777" w:rsidR="004F604D" w:rsidRPr="00225753" w:rsidRDefault="004F604D" w:rsidP="00620BBC">
            <w:pPr>
              <w:spacing w:after="120" w:line="240" w:lineRule="auto"/>
            </w:pPr>
            <w:r w:rsidRPr="00225753">
              <w:t>Enrolled</w:t>
            </w:r>
            <w:r w:rsidR="003E584A" w:rsidRPr="00225753">
              <w:t xml:space="preserve"> </w:t>
            </w:r>
            <w:r w:rsidRPr="00225753">
              <w:t>Students</w:t>
            </w:r>
            <w:r w:rsidR="00755194" w:rsidRPr="00225753">
              <w:t xml:space="preserve"> (The number of students enrolled in the course)</w:t>
            </w:r>
          </w:p>
        </w:tc>
        <w:tc>
          <w:tcPr>
            <w:tcW w:w="1701" w:type="dxa"/>
            <w:shd w:val="clear" w:color="auto" w:fill="auto"/>
          </w:tcPr>
          <w:p w14:paraId="54D44E19" w14:textId="77777777" w:rsidR="004F604D" w:rsidRPr="00225753" w:rsidRDefault="004F604D" w:rsidP="00620BBC">
            <w:pPr>
              <w:spacing w:after="120" w:line="240" w:lineRule="auto"/>
            </w:pPr>
          </w:p>
        </w:tc>
        <w:tc>
          <w:tcPr>
            <w:tcW w:w="1701" w:type="dxa"/>
            <w:shd w:val="clear" w:color="auto" w:fill="auto"/>
          </w:tcPr>
          <w:p w14:paraId="6FC5071F" w14:textId="77777777" w:rsidR="004F604D" w:rsidRPr="00225753" w:rsidRDefault="004F604D" w:rsidP="00620BBC">
            <w:pPr>
              <w:spacing w:after="120" w:line="240" w:lineRule="auto"/>
            </w:pPr>
          </w:p>
        </w:tc>
        <w:tc>
          <w:tcPr>
            <w:tcW w:w="1559" w:type="dxa"/>
            <w:shd w:val="clear" w:color="auto" w:fill="auto"/>
          </w:tcPr>
          <w:p w14:paraId="74AF1BA2" w14:textId="77777777" w:rsidR="004F604D" w:rsidRPr="00225753" w:rsidRDefault="004F604D" w:rsidP="00620BBC">
            <w:pPr>
              <w:spacing w:after="120" w:line="240" w:lineRule="auto"/>
            </w:pPr>
          </w:p>
        </w:tc>
        <w:tc>
          <w:tcPr>
            <w:tcW w:w="1701" w:type="dxa"/>
            <w:shd w:val="clear" w:color="auto" w:fill="D9E2F3"/>
          </w:tcPr>
          <w:p w14:paraId="7CC3FAED" w14:textId="77777777" w:rsidR="004F604D" w:rsidRPr="00225753" w:rsidRDefault="004F604D" w:rsidP="00620BBC">
            <w:pPr>
              <w:spacing w:after="120" w:line="240" w:lineRule="auto"/>
              <w:rPr>
                <w:color w:val="44546A"/>
              </w:rPr>
            </w:pPr>
          </w:p>
        </w:tc>
      </w:tr>
      <w:tr w:rsidR="00A53479" w:rsidRPr="00225753" w14:paraId="7D24CB73" w14:textId="77777777" w:rsidTr="00225753">
        <w:tc>
          <w:tcPr>
            <w:tcW w:w="2405" w:type="dxa"/>
            <w:shd w:val="clear" w:color="auto" w:fill="auto"/>
          </w:tcPr>
          <w:p w14:paraId="5AF55764" w14:textId="77777777" w:rsidR="004F604D" w:rsidRPr="00225753" w:rsidRDefault="004F604D" w:rsidP="00620BBC">
            <w:pPr>
              <w:spacing w:after="120" w:line="240" w:lineRule="auto"/>
            </w:pPr>
            <w:r w:rsidRPr="00225753">
              <w:t>Completio</w:t>
            </w:r>
            <w:r w:rsidR="00081FE1">
              <w:t xml:space="preserve">n </w:t>
            </w:r>
            <w:r w:rsidRPr="00225753">
              <w:t xml:space="preserve">Rate </w:t>
            </w:r>
            <w:r w:rsidR="00755194" w:rsidRPr="00225753">
              <w:t>(The percentage of students who completed the course</w:t>
            </w:r>
            <w:r w:rsidR="00AD5E67" w:rsidRPr="00225753">
              <w:t>)</w:t>
            </w:r>
          </w:p>
        </w:tc>
        <w:tc>
          <w:tcPr>
            <w:tcW w:w="1701" w:type="dxa"/>
            <w:shd w:val="clear" w:color="auto" w:fill="auto"/>
          </w:tcPr>
          <w:p w14:paraId="11267A3D" w14:textId="77777777" w:rsidR="004F604D" w:rsidRPr="00225753" w:rsidRDefault="004F604D" w:rsidP="00620BBC">
            <w:pPr>
              <w:spacing w:after="120" w:line="240" w:lineRule="auto"/>
            </w:pPr>
          </w:p>
        </w:tc>
        <w:tc>
          <w:tcPr>
            <w:tcW w:w="1701" w:type="dxa"/>
            <w:shd w:val="clear" w:color="auto" w:fill="auto"/>
          </w:tcPr>
          <w:p w14:paraId="0C2C20A6" w14:textId="77777777" w:rsidR="004F604D" w:rsidRPr="00225753" w:rsidRDefault="004F604D" w:rsidP="00620BBC">
            <w:pPr>
              <w:spacing w:after="120" w:line="240" w:lineRule="auto"/>
            </w:pPr>
          </w:p>
        </w:tc>
        <w:tc>
          <w:tcPr>
            <w:tcW w:w="1559" w:type="dxa"/>
            <w:shd w:val="clear" w:color="auto" w:fill="auto"/>
          </w:tcPr>
          <w:p w14:paraId="13ED3369" w14:textId="77777777" w:rsidR="004F604D" w:rsidRPr="00225753" w:rsidRDefault="004F604D" w:rsidP="00620BBC">
            <w:pPr>
              <w:spacing w:after="120" w:line="240" w:lineRule="auto"/>
            </w:pPr>
          </w:p>
        </w:tc>
        <w:tc>
          <w:tcPr>
            <w:tcW w:w="1701" w:type="dxa"/>
            <w:shd w:val="clear" w:color="auto" w:fill="D9E2F3"/>
          </w:tcPr>
          <w:p w14:paraId="0DD9F1FA" w14:textId="77777777" w:rsidR="004F604D" w:rsidRPr="00225753" w:rsidRDefault="004F604D" w:rsidP="00620BBC">
            <w:pPr>
              <w:spacing w:after="120" w:line="240" w:lineRule="auto"/>
            </w:pPr>
          </w:p>
        </w:tc>
      </w:tr>
      <w:tr w:rsidR="00A53479" w:rsidRPr="00225753" w14:paraId="5F416F95" w14:textId="77777777" w:rsidTr="00225753">
        <w:tc>
          <w:tcPr>
            <w:tcW w:w="2405" w:type="dxa"/>
            <w:shd w:val="clear" w:color="auto" w:fill="auto"/>
          </w:tcPr>
          <w:p w14:paraId="079DED7F" w14:textId="77777777" w:rsidR="004F604D" w:rsidRPr="00225753" w:rsidRDefault="004F604D" w:rsidP="00620BBC">
            <w:pPr>
              <w:spacing w:after="120" w:line="240" w:lineRule="auto"/>
            </w:pPr>
            <w:r w:rsidRPr="00225753">
              <w:t>Platform</w:t>
            </w:r>
            <w:r w:rsidR="00AD5E67" w:rsidRPr="00225753">
              <w:t xml:space="preserve"> (The platform offering the course (e.g., Coursera, edX, </w:t>
            </w:r>
            <w:r w:rsidR="00AD5E67" w:rsidRPr="00225753">
              <w:lastRenderedPageBreak/>
              <w:t>LinkedIn Learning, Udemy)</w:t>
            </w:r>
          </w:p>
        </w:tc>
        <w:tc>
          <w:tcPr>
            <w:tcW w:w="1701" w:type="dxa"/>
            <w:shd w:val="clear" w:color="auto" w:fill="D9E2F3"/>
          </w:tcPr>
          <w:p w14:paraId="50ACD835" w14:textId="77777777" w:rsidR="004F604D" w:rsidRPr="00225753" w:rsidRDefault="004F604D" w:rsidP="00620BBC">
            <w:pPr>
              <w:spacing w:after="120" w:line="240" w:lineRule="auto"/>
            </w:pPr>
          </w:p>
        </w:tc>
        <w:tc>
          <w:tcPr>
            <w:tcW w:w="1701" w:type="dxa"/>
            <w:shd w:val="clear" w:color="auto" w:fill="auto"/>
          </w:tcPr>
          <w:p w14:paraId="11EF5681" w14:textId="77777777" w:rsidR="004F604D" w:rsidRPr="00225753" w:rsidRDefault="004F604D" w:rsidP="00620BBC">
            <w:pPr>
              <w:spacing w:after="120" w:line="240" w:lineRule="auto"/>
            </w:pPr>
          </w:p>
        </w:tc>
        <w:tc>
          <w:tcPr>
            <w:tcW w:w="1559" w:type="dxa"/>
            <w:shd w:val="clear" w:color="auto" w:fill="auto"/>
          </w:tcPr>
          <w:p w14:paraId="25D63FE6" w14:textId="77777777" w:rsidR="004F604D" w:rsidRPr="00225753" w:rsidRDefault="004F604D" w:rsidP="00620BBC">
            <w:pPr>
              <w:spacing w:after="120" w:line="240" w:lineRule="auto"/>
            </w:pPr>
          </w:p>
        </w:tc>
        <w:tc>
          <w:tcPr>
            <w:tcW w:w="1701" w:type="dxa"/>
            <w:shd w:val="clear" w:color="auto" w:fill="auto"/>
          </w:tcPr>
          <w:p w14:paraId="275E1467" w14:textId="77777777" w:rsidR="004F604D" w:rsidRPr="00225753" w:rsidRDefault="004F604D" w:rsidP="00620BBC">
            <w:pPr>
              <w:spacing w:after="120" w:line="240" w:lineRule="auto"/>
            </w:pPr>
          </w:p>
        </w:tc>
      </w:tr>
      <w:tr w:rsidR="00A53479" w:rsidRPr="00225753" w14:paraId="024C5B84" w14:textId="77777777" w:rsidTr="00225753">
        <w:tc>
          <w:tcPr>
            <w:tcW w:w="2405" w:type="dxa"/>
            <w:shd w:val="clear" w:color="auto" w:fill="auto"/>
          </w:tcPr>
          <w:p w14:paraId="6C62A1DC" w14:textId="77777777" w:rsidR="00235CE9" w:rsidRPr="00225753" w:rsidRDefault="004F604D" w:rsidP="00620BBC">
            <w:pPr>
              <w:spacing w:after="120" w:line="240" w:lineRule="auto"/>
            </w:pPr>
            <w:r w:rsidRPr="00225753">
              <w:t>Price (</w:t>
            </w:r>
            <w:r w:rsidR="00235CE9" w:rsidRPr="00225753">
              <w:t>The price of the course in dollars)</w:t>
            </w:r>
          </w:p>
          <w:p w14:paraId="1EE862FE" w14:textId="77777777" w:rsidR="004F604D" w:rsidRPr="00225753" w:rsidRDefault="004F604D" w:rsidP="00620BBC">
            <w:pPr>
              <w:spacing w:after="120" w:line="240" w:lineRule="auto"/>
            </w:pPr>
          </w:p>
        </w:tc>
        <w:tc>
          <w:tcPr>
            <w:tcW w:w="1701" w:type="dxa"/>
            <w:shd w:val="clear" w:color="auto" w:fill="auto"/>
          </w:tcPr>
          <w:p w14:paraId="542A7DAB" w14:textId="77777777" w:rsidR="004F604D" w:rsidRPr="00225753" w:rsidRDefault="004F604D" w:rsidP="00620BBC">
            <w:pPr>
              <w:spacing w:after="120" w:line="240" w:lineRule="auto"/>
            </w:pPr>
          </w:p>
        </w:tc>
        <w:tc>
          <w:tcPr>
            <w:tcW w:w="1701" w:type="dxa"/>
            <w:shd w:val="clear" w:color="auto" w:fill="auto"/>
          </w:tcPr>
          <w:p w14:paraId="7D23E953" w14:textId="77777777" w:rsidR="004F604D" w:rsidRPr="00225753" w:rsidRDefault="004F604D" w:rsidP="00620BBC">
            <w:pPr>
              <w:spacing w:after="120" w:line="240" w:lineRule="auto"/>
            </w:pPr>
          </w:p>
        </w:tc>
        <w:tc>
          <w:tcPr>
            <w:tcW w:w="1559" w:type="dxa"/>
            <w:shd w:val="clear" w:color="auto" w:fill="auto"/>
          </w:tcPr>
          <w:p w14:paraId="65BB1E0B" w14:textId="77777777" w:rsidR="004F604D" w:rsidRPr="00225753" w:rsidRDefault="004F604D" w:rsidP="00620BBC">
            <w:pPr>
              <w:spacing w:after="120" w:line="240" w:lineRule="auto"/>
            </w:pPr>
          </w:p>
        </w:tc>
        <w:tc>
          <w:tcPr>
            <w:tcW w:w="1701" w:type="dxa"/>
            <w:shd w:val="clear" w:color="auto" w:fill="D9E2F3"/>
          </w:tcPr>
          <w:p w14:paraId="567C86CD" w14:textId="77777777" w:rsidR="004F604D" w:rsidRPr="00225753" w:rsidRDefault="004F604D" w:rsidP="00620BBC">
            <w:pPr>
              <w:spacing w:after="120" w:line="240" w:lineRule="auto"/>
            </w:pPr>
          </w:p>
        </w:tc>
      </w:tr>
      <w:tr w:rsidR="00A53479" w:rsidRPr="00225753" w14:paraId="7E06F65F" w14:textId="77777777" w:rsidTr="00225753">
        <w:tc>
          <w:tcPr>
            <w:tcW w:w="2405" w:type="dxa"/>
            <w:shd w:val="clear" w:color="auto" w:fill="auto"/>
          </w:tcPr>
          <w:p w14:paraId="465F7FCA" w14:textId="77777777" w:rsidR="004F604D" w:rsidRPr="00225753" w:rsidRDefault="004F604D" w:rsidP="00620BBC">
            <w:pPr>
              <w:spacing w:after="120" w:line="240" w:lineRule="auto"/>
            </w:pPr>
            <w:r w:rsidRPr="00225753">
              <w:t>Rating (</w:t>
            </w:r>
            <w:r w:rsidR="008003A3" w:rsidRPr="00225753">
              <w:t>The rating of the course, out of a possible 5 stars)</w:t>
            </w:r>
          </w:p>
        </w:tc>
        <w:tc>
          <w:tcPr>
            <w:tcW w:w="1701" w:type="dxa"/>
            <w:shd w:val="clear" w:color="auto" w:fill="auto"/>
          </w:tcPr>
          <w:p w14:paraId="58B64200" w14:textId="77777777" w:rsidR="004F604D" w:rsidRPr="00225753" w:rsidRDefault="004F604D" w:rsidP="00620BBC">
            <w:pPr>
              <w:spacing w:after="120" w:line="240" w:lineRule="auto"/>
            </w:pPr>
          </w:p>
        </w:tc>
        <w:tc>
          <w:tcPr>
            <w:tcW w:w="1701" w:type="dxa"/>
            <w:shd w:val="clear" w:color="auto" w:fill="auto"/>
          </w:tcPr>
          <w:p w14:paraId="630ECDC5" w14:textId="77777777" w:rsidR="004F604D" w:rsidRPr="00225753" w:rsidRDefault="004F604D" w:rsidP="00620BBC">
            <w:pPr>
              <w:spacing w:after="120" w:line="240" w:lineRule="auto"/>
            </w:pPr>
          </w:p>
        </w:tc>
        <w:tc>
          <w:tcPr>
            <w:tcW w:w="1559" w:type="dxa"/>
            <w:shd w:val="clear" w:color="auto" w:fill="D9E2F3"/>
          </w:tcPr>
          <w:p w14:paraId="49F8DB41" w14:textId="77777777" w:rsidR="004F604D" w:rsidRPr="00225753" w:rsidRDefault="004F604D" w:rsidP="00620BBC">
            <w:pPr>
              <w:spacing w:after="120" w:line="240" w:lineRule="auto"/>
            </w:pPr>
          </w:p>
        </w:tc>
        <w:tc>
          <w:tcPr>
            <w:tcW w:w="1701" w:type="dxa"/>
            <w:shd w:val="clear" w:color="auto" w:fill="auto"/>
          </w:tcPr>
          <w:p w14:paraId="6B001A89" w14:textId="77777777" w:rsidR="004F604D" w:rsidRPr="00225753" w:rsidRDefault="004F604D" w:rsidP="00620BBC">
            <w:pPr>
              <w:spacing w:after="120" w:line="240" w:lineRule="auto"/>
            </w:pPr>
          </w:p>
        </w:tc>
      </w:tr>
    </w:tbl>
    <w:p w14:paraId="622B78C0" w14:textId="54A8A999" w:rsidR="005F2C6E" w:rsidRPr="00140125" w:rsidRDefault="00D06D8B" w:rsidP="00620BBC">
      <w:pPr>
        <w:pStyle w:val="Heading1"/>
        <w:numPr>
          <w:ilvl w:val="0"/>
          <w:numId w:val="12"/>
        </w:numPr>
        <w:spacing w:before="0" w:after="120"/>
      </w:pPr>
      <w:bookmarkStart w:id="3" w:name="_Toc194084538"/>
      <w:r w:rsidRPr="00140125">
        <w:t>Exploratory data analysis</w:t>
      </w:r>
      <w:bookmarkEnd w:id="3"/>
    </w:p>
    <w:p w14:paraId="710AF812" w14:textId="0ACADFEA" w:rsidR="00D27DA0" w:rsidRDefault="00D27DA0" w:rsidP="00620BBC">
      <w:pPr>
        <w:spacing w:after="120" w:line="240" w:lineRule="auto"/>
      </w:pPr>
      <w:r>
        <w:t xml:space="preserve">A range of descriptive statistics and visualisations were employed to understand the central tendencies, variability, and patterns in the data. Key metrics (duration, enrolment, rating, price, </w:t>
      </w:r>
      <w:r w:rsidR="00B40774">
        <w:t xml:space="preserve">and </w:t>
      </w:r>
      <w:r>
        <w:t>completion rate) were assessed using:</w:t>
      </w:r>
    </w:p>
    <w:p w14:paraId="4CDBBA2F" w14:textId="77777777" w:rsidR="00D27DA0" w:rsidRDefault="00D27DA0" w:rsidP="00620BBC">
      <w:pPr>
        <w:spacing w:after="120" w:line="240" w:lineRule="auto"/>
      </w:pPr>
      <w:r>
        <w:t>•</w:t>
      </w:r>
      <w:r>
        <w:tab/>
        <w:t>Histograms for distributions</w:t>
      </w:r>
    </w:p>
    <w:p w14:paraId="2482696E" w14:textId="77777777" w:rsidR="00D27DA0" w:rsidRDefault="00D27DA0" w:rsidP="00620BBC">
      <w:pPr>
        <w:spacing w:after="120" w:line="240" w:lineRule="auto"/>
      </w:pPr>
      <w:r>
        <w:t>•</w:t>
      </w:r>
      <w:r>
        <w:tab/>
        <w:t>Boxplots for outlier detection</w:t>
      </w:r>
    </w:p>
    <w:p w14:paraId="3A1357F6" w14:textId="77777777" w:rsidR="00D27DA0" w:rsidRDefault="00D27DA0" w:rsidP="00620BBC">
      <w:pPr>
        <w:spacing w:after="120" w:line="240" w:lineRule="auto"/>
      </w:pPr>
      <w:r>
        <w:t>•</w:t>
      </w:r>
      <w:r>
        <w:tab/>
        <w:t>Pareto charts for price clusters</w:t>
      </w:r>
    </w:p>
    <w:p w14:paraId="625B929F" w14:textId="13223849" w:rsidR="00D27DA0" w:rsidRPr="00D27DA0" w:rsidRDefault="00D27DA0" w:rsidP="00620BBC">
      <w:pPr>
        <w:spacing w:after="120" w:line="240" w:lineRule="auto"/>
      </w:pPr>
      <w:r>
        <w:t>•</w:t>
      </w:r>
      <w:r>
        <w:tab/>
        <w:t>Cross-tabulated platform/category performance</w:t>
      </w:r>
    </w:p>
    <w:p w14:paraId="403591E9" w14:textId="55BD6CB3" w:rsidR="005F2C6E" w:rsidRDefault="00056C55" w:rsidP="00620BBC">
      <w:pPr>
        <w:pStyle w:val="Heading2"/>
        <w:spacing w:before="0" w:after="120" w:line="240" w:lineRule="auto"/>
      </w:pPr>
      <w:bookmarkStart w:id="4" w:name="_Toc194084539"/>
      <w:r>
        <w:t xml:space="preserve">4.1 </w:t>
      </w:r>
      <w:r w:rsidR="00130A2E">
        <w:t>Descriptive statistics of online course metrics</w:t>
      </w:r>
      <w:bookmarkEnd w:id="4"/>
    </w:p>
    <w:p w14:paraId="6179CFFF" w14:textId="659BD646" w:rsidR="004A7D77" w:rsidRPr="00C40107" w:rsidRDefault="00C42E78" w:rsidP="00620BBC">
      <w:pPr>
        <w:spacing w:after="120" w:line="240" w:lineRule="auto"/>
        <w:rPr>
          <w:b/>
          <w:bCs/>
        </w:rPr>
      </w:pPr>
      <w:r>
        <w:rPr>
          <w:b/>
          <w:bCs/>
        </w:rPr>
        <w:t xml:space="preserve">Table: </w:t>
      </w:r>
      <w:r w:rsidR="00192C0C" w:rsidRPr="00C40107">
        <w:rPr>
          <w:b/>
          <w:bCs/>
        </w:rPr>
        <w:t>Summary of descriptive statistics for online course dataset</w:t>
      </w:r>
    </w:p>
    <w:tbl>
      <w:tblPr>
        <w:tblStyle w:val="GridTable5Dark-Accent1"/>
        <w:tblW w:w="9209" w:type="dxa"/>
        <w:tblLook w:val="04A0" w:firstRow="1" w:lastRow="0" w:firstColumn="1" w:lastColumn="0" w:noHBand="0" w:noVBand="1"/>
      </w:tblPr>
      <w:tblGrid>
        <w:gridCol w:w="2256"/>
        <w:gridCol w:w="996"/>
        <w:gridCol w:w="1192"/>
        <w:gridCol w:w="1088"/>
        <w:gridCol w:w="1133"/>
        <w:gridCol w:w="1271"/>
        <w:gridCol w:w="1273"/>
      </w:tblGrid>
      <w:tr w:rsidR="00523ED0" w:rsidRPr="004A7D77" w14:paraId="3102C37B" w14:textId="77777777" w:rsidTr="00B37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hideMark/>
          </w:tcPr>
          <w:p w14:paraId="1CABFD17" w14:textId="77777777" w:rsidR="004A7D77" w:rsidRPr="004A7D77" w:rsidRDefault="004A7D77" w:rsidP="00620BBC">
            <w:pPr>
              <w:spacing w:after="120" w:line="240" w:lineRule="auto"/>
            </w:pPr>
            <w:r w:rsidRPr="004A7D77">
              <w:t>Variable</w:t>
            </w:r>
          </w:p>
        </w:tc>
        <w:tc>
          <w:tcPr>
            <w:tcW w:w="996" w:type="dxa"/>
            <w:hideMark/>
          </w:tcPr>
          <w:p w14:paraId="0D190B2A" w14:textId="77777777" w:rsidR="004A7D77" w:rsidRPr="004A7D77" w:rsidRDefault="004A7D77"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4A7D77">
              <w:t>Mean</w:t>
            </w:r>
          </w:p>
        </w:tc>
        <w:tc>
          <w:tcPr>
            <w:tcW w:w="1192" w:type="dxa"/>
            <w:hideMark/>
          </w:tcPr>
          <w:p w14:paraId="14CDF964" w14:textId="77777777" w:rsidR="004A7D77" w:rsidRPr="004A7D77" w:rsidRDefault="004A7D77"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4A7D77">
              <w:t>Median</w:t>
            </w:r>
          </w:p>
        </w:tc>
        <w:tc>
          <w:tcPr>
            <w:tcW w:w="1088" w:type="dxa"/>
            <w:hideMark/>
          </w:tcPr>
          <w:p w14:paraId="3CE52E78" w14:textId="77777777" w:rsidR="004A7D77" w:rsidRPr="004A7D77" w:rsidRDefault="004A7D77"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4A7D77">
              <w:t>Mode</w:t>
            </w:r>
          </w:p>
        </w:tc>
        <w:tc>
          <w:tcPr>
            <w:tcW w:w="1133" w:type="dxa"/>
            <w:hideMark/>
          </w:tcPr>
          <w:p w14:paraId="3F3493D3" w14:textId="77777777" w:rsidR="004A7D77" w:rsidRPr="004A7D77" w:rsidRDefault="004A7D77"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4A7D77">
              <w:t>Std. Dev.</w:t>
            </w:r>
          </w:p>
        </w:tc>
        <w:tc>
          <w:tcPr>
            <w:tcW w:w="1271" w:type="dxa"/>
            <w:hideMark/>
          </w:tcPr>
          <w:p w14:paraId="5F17E483" w14:textId="77777777" w:rsidR="004A7D77" w:rsidRPr="004A7D77" w:rsidRDefault="004A7D77"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4A7D77">
              <w:t>Min</w:t>
            </w:r>
          </w:p>
        </w:tc>
        <w:tc>
          <w:tcPr>
            <w:tcW w:w="1273" w:type="dxa"/>
            <w:hideMark/>
          </w:tcPr>
          <w:p w14:paraId="32A64DC8" w14:textId="77777777" w:rsidR="004A7D77" w:rsidRPr="004A7D77" w:rsidRDefault="004A7D77"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4A7D77">
              <w:t>Max</w:t>
            </w:r>
          </w:p>
        </w:tc>
      </w:tr>
      <w:tr w:rsidR="00523ED0" w:rsidRPr="004A7D77" w14:paraId="0DD2DAEE" w14:textId="77777777" w:rsidTr="00B3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hideMark/>
          </w:tcPr>
          <w:p w14:paraId="521206A5" w14:textId="77777777" w:rsidR="004A7D77" w:rsidRPr="004A7D77" w:rsidRDefault="004A7D77" w:rsidP="00620BBC">
            <w:pPr>
              <w:spacing w:after="120" w:line="240" w:lineRule="auto"/>
            </w:pPr>
            <w:r w:rsidRPr="004A7D77">
              <w:t>Duration (hours)</w:t>
            </w:r>
          </w:p>
        </w:tc>
        <w:tc>
          <w:tcPr>
            <w:tcW w:w="996" w:type="dxa"/>
            <w:hideMark/>
          </w:tcPr>
          <w:p w14:paraId="1895D44A"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55.14</w:t>
            </w:r>
          </w:p>
        </w:tc>
        <w:tc>
          <w:tcPr>
            <w:tcW w:w="1192" w:type="dxa"/>
            <w:hideMark/>
          </w:tcPr>
          <w:p w14:paraId="46FDE762"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55.00</w:t>
            </w:r>
          </w:p>
        </w:tc>
        <w:tc>
          <w:tcPr>
            <w:tcW w:w="1088" w:type="dxa"/>
            <w:hideMark/>
          </w:tcPr>
          <w:p w14:paraId="15A285E7"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58</w:t>
            </w:r>
          </w:p>
        </w:tc>
        <w:tc>
          <w:tcPr>
            <w:tcW w:w="1133" w:type="dxa"/>
            <w:hideMark/>
          </w:tcPr>
          <w:p w14:paraId="16F7A698"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26.20</w:t>
            </w:r>
          </w:p>
        </w:tc>
        <w:tc>
          <w:tcPr>
            <w:tcW w:w="1271" w:type="dxa"/>
            <w:hideMark/>
          </w:tcPr>
          <w:p w14:paraId="35BEC71F"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10.00</w:t>
            </w:r>
          </w:p>
        </w:tc>
        <w:tc>
          <w:tcPr>
            <w:tcW w:w="1273" w:type="dxa"/>
            <w:hideMark/>
          </w:tcPr>
          <w:p w14:paraId="72E9C90D"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100.00</w:t>
            </w:r>
          </w:p>
        </w:tc>
      </w:tr>
      <w:tr w:rsidR="00523ED0" w:rsidRPr="004A7D77" w14:paraId="2FF1346C" w14:textId="77777777" w:rsidTr="00B37771">
        <w:tc>
          <w:tcPr>
            <w:cnfStyle w:val="001000000000" w:firstRow="0" w:lastRow="0" w:firstColumn="1" w:lastColumn="0" w:oddVBand="0" w:evenVBand="0" w:oddHBand="0" w:evenHBand="0" w:firstRowFirstColumn="0" w:firstRowLastColumn="0" w:lastRowFirstColumn="0" w:lastRowLastColumn="0"/>
            <w:tcW w:w="2256" w:type="dxa"/>
            <w:hideMark/>
          </w:tcPr>
          <w:p w14:paraId="6D25A2D1" w14:textId="77777777" w:rsidR="004A7D77" w:rsidRPr="004A7D77" w:rsidRDefault="004A7D77" w:rsidP="00620BBC">
            <w:pPr>
              <w:spacing w:after="120" w:line="240" w:lineRule="auto"/>
            </w:pPr>
            <w:r w:rsidRPr="004A7D77">
              <w:t>Enrolled Students</w:t>
            </w:r>
          </w:p>
        </w:tc>
        <w:tc>
          <w:tcPr>
            <w:tcW w:w="996" w:type="dxa"/>
            <w:hideMark/>
          </w:tcPr>
          <w:p w14:paraId="57E41B45"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2,530.65</w:t>
            </w:r>
          </w:p>
        </w:tc>
        <w:tc>
          <w:tcPr>
            <w:tcW w:w="1192" w:type="dxa"/>
            <w:hideMark/>
          </w:tcPr>
          <w:p w14:paraId="64F6FCE8"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2,532.00</w:t>
            </w:r>
          </w:p>
        </w:tc>
        <w:tc>
          <w:tcPr>
            <w:tcW w:w="1088" w:type="dxa"/>
            <w:hideMark/>
          </w:tcPr>
          <w:p w14:paraId="72513E20"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4,777</w:t>
            </w:r>
          </w:p>
        </w:tc>
        <w:tc>
          <w:tcPr>
            <w:tcW w:w="1133" w:type="dxa"/>
            <w:hideMark/>
          </w:tcPr>
          <w:p w14:paraId="31C93668"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1,423.81</w:t>
            </w:r>
          </w:p>
        </w:tc>
        <w:tc>
          <w:tcPr>
            <w:tcW w:w="1271" w:type="dxa"/>
            <w:hideMark/>
          </w:tcPr>
          <w:p w14:paraId="0F38F319"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101</w:t>
            </w:r>
          </w:p>
        </w:tc>
        <w:tc>
          <w:tcPr>
            <w:tcW w:w="1273" w:type="dxa"/>
            <w:hideMark/>
          </w:tcPr>
          <w:p w14:paraId="16D2CC38"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5,000</w:t>
            </w:r>
          </w:p>
        </w:tc>
      </w:tr>
      <w:tr w:rsidR="00523ED0" w:rsidRPr="004A7D77" w14:paraId="4D5EB9E0" w14:textId="77777777" w:rsidTr="00B3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hideMark/>
          </w:tcPr>
          <w:p w14:paraId="5374CFED" w14:textId="77777777" w:rsidR="004A7D77" w:rsidRPr="004A7D77" w:rsidRDefault="004A7D77" w:rsidP="00620BBC">
            <w:pPr>
              <w:spacing w:after="120" w:line="240" w:lineRule="auto"/>
            </w:pPr>
            <w:r w:rsidRPr="004A7D77">
              <w:t>Completion Rate (%)</w:t>
            </w:r>
          </w:p>
        </w:tc>
        <w:tc>
          <w:tcPr>
            <w:tcW w:w="996" w:type="dxa"/>
            <w:hideMark/>
          </w:tcPr>
          <w:p w14:paraId="435995E2"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75.12</w:t>
            </w:r>
          </w:p>
        </w:tc>
        <w:tc>
          <w:tcPr>
            <w:tcW w:w="1192" w:type="dxa"/>
            <w:hideMark/>
          </w:tcPr>
          <w:p w14:paraId="5ED7D053"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75.16</w:t>
            </w:r>
          </w:p>
        </w:tc>
        <w:tc>
          <w:tcPr>
            <w:tcW w:w="1088" w:type="dxa"/>
            <w:hideMark/>
          </w:tcPr>
          <w:p w14:paraId="185FD619"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76.69</w:t>
            </w:r>
          </w:p>
        </w:tc>
        <w:tc>
          <w:tcPr>
            <w:tcW w:w="1133" w:type="dxa"/>
            <w:hideMark/>
          </w:tcPr>
          <w:p w14:paraId="2FA53DAC"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14.46</w:t>
            </w:r>
          </w:p>
        </w:tc>
        <w:tc>
          <w:tcPr>
            <w:tcW w:w="1271" w:type="dxa"/>
            <w:hideMark/>
          </w:tcPr>
          <w:p w14:paraId="713BB8FD"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50.01</w:t>
            </w:r>
          </w:p>
        </w:tc>
        <w:tc>
          <w:tcPr>
            <w:tcW w:w="1273" w:type="dxa"/>
            <w:hideMark/>
          </w:tcPr>
          <w:p w14:paraId="1B34A305"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99.99</w:t>
            </w:r>
          </w:p>
        </w:tc>
      </w:tr>
      <w:tr w:rsidR="00523ED0" w:rsidRPr="004A7D77" w14:paraId="0AD0DB8B" w14:textId="77777777" w:rsidTr="00B37771">
        <w:tc>
          <w:tcPr>
            <w:cnfStyle w:val="001000000000" w:firstRow="0" w:lastRow="0" w:firstColumn="1" w:lastColumn="0" w:oddVBand="0" w:evenVBand="0" w:oddHBand="0" w:evenHBand="0" w:firstRowFirstColumn="0" w:firstRowLastColumn="0" w:lastRowFirstColumn="0" w:lastRowLastColumn="0"/>
            <w:tcW w:w="2256" w:type="dxa"/>
            <w:hideMark/>
          </w:tcPr>
          <w:p w14:paraId="460DB605" w14:textId="77777777" w:rsidR="004A7D77" w:rsidRPr="004A7D77" w:rsidRDefault="004A7D77" w:rsidP="00620BBC">
            <w:pPr>
              <w:spacing w:after="120" w:line="240" w:lineRule="auto"/>
            </w:pPr>
            <w:r w:rsidRPr="004A7D77">
              <w:t>Price ($)</w:t>
            </w:r>
          </w:p>
        </w:tc>
        <w:tc>
          <w:tcPr>
            <w:tcW w:w="996" w:type="dxa"/>
            <w:hideMark/>
          </w:tcPr>
          <w:p w14:paraId="170CAA05"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106.39</w:t>
            </w:r>
          </w:p>
        </w:tc>
        <w:tc>
          <w:tcPr>
            <w:tcW w:w="1192" w:type="dxa"/>
            <w:hideMark/>
          </w:tcPr>
          <w:p w14:paraId="5BE3513D"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108.05</w:t>
            </w:r>
          </w:p>
        </w:tc>
        <w:tc>
          <w:tcPr>
            <w:tcW w:w="1088" w:type="dxa"/>
            <w:hideMark/>
          </w:tcPr>
          <w:p w14:paraId="3AB07FAE"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155.32</w:t>
            </w:r>
          </w:p>
        </w:tc>
        <w:tc>
          <w:tcPr>
            <w:tcW w:w="1133" w:type="dxa"/>
            <w:hideMark/>
          </w:tcPr>
          <w:p w14:paraId="201F0CFB"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55.10</w:t>
            </w:r>
          </w:p>
        </w:tc>
        <w:tc>
          <w:tcPr>
            <w:tcW w:w="1271" w:type="dxa"/>
            <w:hideMark/>
          </w:tcPr>
          <w:p w14:paraId="6241B9B2"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10.04</w:t>
            </w:r>
          </w:p>
        </w:tc>
        <w:tc>
          <w:tcPr>
            <w:tcW w:w="1273" w:type="dxa"/>
            <w:hideMark/>
          </w:tcPr>
          <w:p w14:paraId="0E7DCA91" w14:textId="77777777" w:rsidR="004A7D77" w:rsidRPr="004A7D77" w:rsidRDefault="004A7D7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4A7D77">
              <w:t>199.96</w:t>
            </w:r>
          </w:p>
        </w:tc>
      </w:tr>
      <w:tr w:rsidR="00523ED0" w:rsidRPr="004A7D77" w14:paraId="78B60638" w14:textId="77777777" w:rsidTr="00B37771">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256" w:type="dxa"/>
            <w:hideMark/>
          </w:tcPr>
          <w:p w14:paraId="09832630" w14:textId="77777777" w:rsidR="004A7D77" w:rsidRPr="004A7D77" w:rsidRDefault="004A7D77" w:rsidP="00620BBC">
            <w:pPr>
              <w:spacing w:after="120" w:line="240" w:lineRule="auto"/>
            </w:pPr>
            <w:r w:rsidRPr="004A7D77">
              <w:t>Rating (out of 5)</w:t>
            </w:r>
          </w:p>
        </w:tc>
        <w:tc>
          <w:tcPr>
            <w:tcW w:w="996" w:type="dxa"/>
            <w:hideMark/>
          </w:tcPr>
          <w:p w14:paraId="075CA5E1"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3.99</w:t>
            </w:r>
          </w:p>
        </w:tc>
        <w:tc>
          <w:tcPr>
            <w:tcW w:w="1192" w:type="dxa"/>
            <w:hideMark/>
          </w:tcPr>
          <w:p w14:paraId="08546330"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4.00</w:t>
            </w:r>
          </w:p>
        </w:tc>
        <w:tc>
          <w:tcPr>
            <w:tcW w:w="1088" w:type="dxa"/>
            <w:hideMark/>
          </w:tcPr>
          <w:p w14:paraId="286DCFA0"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4.10</w:t>
            </w:r>
          </w:p>
        </w:tc>
        <w:tc>
          <w:tcPr>
            <w:tcW w:w="1133" w:type="dxa"/>
            <w:hideMark/>
          </w:tcPr>
          <w:p w14:paraId="17C306E4"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0.58</w:t>
            </w:r>
          </w:p>
        </w:tc>
        <w:tc>
          <w:tcPr>
            <w:tcW w:w="1271" w:type="dxa"/>
            <w:hideMark/>
          </w:tcPr>
          <w:p w14:paraId="2FEC2388"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3.00</w:t>
            </w:r>
          </w:p>
        </w:tc>
        <w:tc>
          <w:tcPr>
            <w:tcW w:w="1273" w:type="dxa"/>
            <w:hideMark/>
          </w:tcPr>
          <w:p w14:paraId="111BF5EC" w14:textId="77777777" w:rsidR="004A7D77" w:rsidRPr="004A7D77" w:rsidRDefault="004A7D7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4A7D77">
              <w:t>5.00</w:t>
            </w:r>
          </w:p>
        </w:tc>
      </w:tr>
    </w:tbl>
    <w:p w14:paraId="0B2385CB" w14:textId="39B61290" w:rsidR="00AA042B" w:rsidRDefault="00AA042B" w:rsidP="00620BBC">
      <w:pPr>
        <w:spacing w:after="120" w:line="240" w:lineRule="auto"/>
      </w:pPr>
      <w:r w:rsidRPr="00AA042B">
        <w:t xml:space="preserve">The table </w:t>
      </w:r>
      <w:r>
        <w:t>above</w:t>
      </w:r>
      <w:r w:rsidRPr="00AA042B">
        <w:t xml:space="preserve"> summari</w:t>
      </w:r>
      <w:r>
        <w:t>s</w:t>
      </w:r>
      <w:r w:rsidRPr="00AA042B">
        <w:t xml:space="preserve">es the key statistical measures for five core variables in the course dataset: </w:t>
      </w:r>
      <w:r w:rsidRPr="00AA042B">
        <w:rPr>
          <w:b/>
          <w:bCs/>
        </w:rPr>
        <w:t>duration, enrolment, completion rate, price</w:t>
      </w:r>
      <w:r w:rsidRPr="00AA042B">
        <w:t xml:space="preserve">, and </w:t>
      </w:r>
      <w:r w:rsidRPr="00AA042B">
        <w:rPr>
          <w:b/>
          <w:bCs/>
        </w:rPr>
        <w:t>user rating</w:t>
      </w:r>
      <w:r w:rsidRPr="00AA042B">
        <w:t xml:space="preserve">. These figures offer valuable insights into learner </w:t>
      </w:r>
      <w:r w:rsidR="007035E1" w:rsidRPr="00AA042B">
        <w:t>behaviour</w:t>
      </w:r>
      <w:r w:rsidRPr="00AA042B">
        <w:t>, content performance, and pricing effectiveness across platforms.</w:t>
      </w:r>
    </w:p>
    <w:p w14:paraId="3DDBAE2F" w14:textId="7E193A84" w:rsidR="007035E1" w:rsidRPr="007F7389" w:rsidRDefault="007F7389" w:rsidP="00620BBC">
      <w:pPr>
        <w:spacing w:after="120" w:line="240" w:lineRule="auto"/>
        <w:rPr>
          <w:b/>
          <w:bCs/>
        </w:rPr>
      </w:pPr>
      <w:r w:rsidRPr="007F7389">
        <w:rPr>
          <w:b/>
          <w:bCs/>
        </w:rPr>
        <w:t>Course duration</w:t>
      </w:r>
    </w:p>
    <w:p w14:paraId="7FEB6239" w14:textId="18F3038B" w:rsidR="003029E3" w:rsidRDefault="003029E3" w:rsidP="00620BBC">
      <w:pPr>
        <w:spacing w:after="120" w:line="240" w:lineRule="auto"/>
      </w:pPr>
      <w:r w:rsidRPr="003029E3">
        <w:t xml:space="preserve">The analysis of course duration reveals that the average course is approximately 55 hours long, with the median and mode also close to this figure, indicating a relatively balanced distribution. However, a standard deviation of over 26 hours highlights a wide variation in course lengths, ranging from as short as 10 hours to as long as 100 hours. This suggests a diverse course </w:t>
      </w:r>
      <w:proofErr w:type="gramStart"/>
      <w:r w:rsidRPr="003029E3">
        <w:t>portfolio, but</w:t>
      </w:r>
      <w:proofErr w:type="gramEnd"/>
      <w:r w:rsidRPr="003029E3">
        <w:t xml:space="preserve"> also raises a question of whether longer courses are affecting learner engagement or completion rates. It may be useful to explore how course duration correlates with performance metrics such as satisfaction and completion.</w:t>
      </w:r>
    </w:p>
    <w:p w14:paraId="34F44BF2" w14:textId="77777777" w:rsidR="004E6CD9" w:rsidRDefault="004E6CD9" w:rsidP="00620BBC">
      <w:pPr>
        <w:spacing w:after="120" w:line="240" w:lineRule="auto"/>
        <w:rPr>
          <w:b/>
          <w:bCs/>
        </w:rPr>
      </w:pPr>
      <w:r>
        <w:rPr>
          <w:b/>
          <w:bCs/>
        </w:rPr>
        <w:br w:type="page"/>
      </w:r>
    </w:p>
    <w:p w14:paraId="393DF9DF" w14:textId="26CD81AB" w:rsidR="007F7389" w:rsidRPr="003029E3" w:rsidRDefault="007F7389" w:rsidP="00620BBC">
      <w:pPr>
        <w:spacing w:after="120" w:line="240" w:lineRule="auto"/>
        <w:rPr>
          <w:b/>
          <w:bCs/>
        </w:rPr>
      </w:pPr>
      <w:r w:rsidRPr="007F7389">
        <w:rPr>
          <w:b/>
          <w:bCs/>
        </w:rPr>
        <w:lastRenderedPageBreak/>
        <w:t>Enrolled students</w:t>
      </w:r>
    </w:p>
    <w:p w14:paraId="1D7C24F7" w14:textId="77777777" w:rsidR="0035482A" w:rsidRDefault="0035482A" w:rsidP="00620BBC">
      <w:pPr>
        <w:spacing w:after="120" w:line="240" w:lineRule="auto"/>
      </w:pPr>
      <w:r w:rsidRPr="0035482A">
        <w:t>Courses average 2,530 enrolled students, with enrolments ranging from 100 to 5,000. The large standard deviation (1,423) suggests a disparity in popularity, highlighting the need for further analysis by platform or subject area to inform content and marketing strategies.</w:t>
      </w:r>
    </w:p>
    <w:p w14:paraId="19CAF50A" w14:textId="789F974C" w:rsidR="004C7D08" w:rsidRPr="004C7D08" w:rsidRDefault="004C7D08" w:rsidP="00620BBC">
      <w:pPr>
        <w:spacing w:after="120" w:line="240" w:lineRule="auto"/>
        <w:rPr>
          <w:b/>
          <w:bCs/>
        </w:rPr>
      </w:pPr>
      <w:r w:rsidRPr="004C7D08">
        <w:rPr>
          <w:b/>
          <w:bCs/>
        </w:rPr>
        <w:t>Completion rates</w:t>
      </w:r>
    </w:p>
    <w:p w14:paraId="0C45F548" w14:textId="77777777" w:rsidR="000F1EA8" w:rsidRDefault="003029E3" w:rsidP="00620BBC">
      <w:pPr>
        <w:spacing w:after="120" w:line="240" w:lineRule="auto"/>
      </w:pPr>
      <w:r w:rsidRPr="003029E3">
        <w:t xml:space="preserve">Completion rates are generally strong, with a mean of 75.12% and minimal variation between the minimum (50%) and maximum (almost 100%). </w:t>
      </w:r>
      <w:r w:rsidR="000F1EA8" w:rsidRPr="000F1EA8">
        <w:t>Most courses maintain high learner retention, indicating effective course delivery. However, further analysis by course category or duration could reveal factors influencing performance.</w:t>
      </w:r>
    </w:p>
    <w:p w14:paraId="2B43F107" w14:textId="78205ABD" w:rsidR="004C7D08" w:rsidRPr="00665A4B" w:rsidRDefault="004C7D08" w:rsidP="00620BBC">
      <w:pPr>
        <w:spacing w:after="120" w:line="240" w:lineRule="auto"/>
        <w:rPr>
          <w:b/>
          <w:bCs/>
        </w:rPr>
      </w:pPr>
      <w:r w:rsidRPr="00665A4B">
        <w:rPr>
          <w:b/>
          <w:bCs/>
        </w:rPr>
        <w:t>Course pr</w:t>
      </w:r>
      <w:r w:rsidR="00665A4B" w:rsidRPr="00665A4B">
        <w:rPr>
          <w:b/>
          <w:bCs/>
        </w:rPr>
        <w:t>ice</w:t>
      </w:r>
    </w:p>
    <w:p w14:paraId="70F08B9C" w14:textId="77777777" w:rsidR="00001528" w:rsidRDefault="00001528" w:rsidP="00620BBC">
      <w:pPr>
        <w:spacing w:after="120" w:line="240" w:lineRule="auto"/>
      </w:pPr>
      <w:r w:rsidRPr="00001528">
        <w:t>Course prices vary significantly, averaging $106.39, with a range from $10 to $200. The high standard deviation ($55.10) and skew towards higher prices suggest a broad pricing strategy, highlighting opportunities for tiered pricing, discount bundling, or pricing based on learner outcomes.</w:t>
      </w:r>
    </w:p>
    <w:p w14:paraId="615C0CBB" w14:textId="58D4A5FC" w:rsidR="00665A4B" w:rsidRPr="003029E3" w:rsidRDefault="00665A4B" w:rsidP="00620BBC">
      <w:pPr>
        <w:spacing w:after="120" w:line="240" w:lineRule="auto"/>
        <w:rPr>
          <w:b/>
          <w:bCs/>
        </w:rPr>
      </w:pPr>
      <w:r w:rsidRPr="00665A4B">
        <w:rPr>
          <w:b/>
          <w:bCs/>
        </w:rPr>
        <w:t>User rating</w:t>
      </w:r>
    </w:p>
    <w:p w14:paraId="2B937715" w14:textId="1D9703D4" w:rsidR="003108B0" w:rsidRDefault="003108B0" w:rsidP="00620BBC">
      <w:pPr>
        <w:spacing w:after="120" w:line="240" w:lineRule="auto"/>
      </w:pPr>
      <w:r w:rsidRPr="003108B0">
        <w:t>Courses have an average rating of 3.99/5, with low variation (0.58). Most learners rate courses positively, though there is room for improvement at the lower end. Comparing ratings with enrolment and price could reveal how perceived quality influences learner choices.</w:t>
      </w:r>
    </w:p>
    <w:p w14:paraId="70AC9CB9" w14:textId="290560B1" w:rsidR="00C234A6" w:rsidRDefault="00C234A6" w:rsidP="00620BBC">
      <w:pPr>
        <w:spacing w:after="120" w:line="240" w:lineRule="auto"/>
      </w:pPr>
      <w:r>
        <w:br w:type="page"/>
      </w:r>
    </w:p>
    <w:p w14:paraId="6C1013E2" w14:textId="22C8BEAE" w:rsidR="00641F8D" w:rsidRDefault="004A2E9B" w:rsidP="00620BBC">
      <w:pPr>
        <w:pStyle w:val="Heading2"/>
        <w:spacing w:before="0" w:after="120" w:line="240" w:lineRule="auto"/>
      </w:pPr>
      <w:bookmarkStart w:id="5" w:name="_Toc194084540"/>
      <w:r>
        <w:lastRenderedPageBreak/>
        <w:t xml:space="preserve">4.2 </w:t>
      </w:r>
      <w:r w:rsidR="00867B0E" w:rsidRPr="00867B0E">
        <w:t xml:space="preserve">Distribution </w:t>
      </w:r>
      <w:r w:rsidR="00867B0E">
        <w:t>a</w:t>
      </w:r>
      <w:r w:rsidR="00867B0E" w:rsidRPr="00867B0E">
        <w:t xml:space="preserve">nalysis of </w:t>
      </w:r>
      <w:r w:rsidR="00867B0E">
        <w:t>k</w:t>
      </w:r>
      <w:r w:rsidR="00867B0E" w:rsidRPr="00867B0E">
        <w:t xml:space="preserve">ey </w:t>
      </w:r>
      <w:r w:rsidR="00867B0E">
        <w:t>c</w:t>
      </w:r>
      <w:r w:rsidR="00867B0E" w:rsidRPr="00867B0E">
        <w:t xml:space="preserve">ourse </w:t>
      </w:r>
      <w:r w:rsidR="00867B0E">
        <w:t>m</w:t>
      </w:r>
      <w:r w:rsidR="00867B0E" w:rsidRPr="00867B0E">
        <w:t>etrics</w:t>
      </w:r>
      <w:bookmarkEnd w:id="5"/>
    </w:p>
    <w:p w14:paraId="629E8B14" w14:textId="6F5700C0" w:rsidR="00867B0E" w:rsidRDefault="00867B0E" w:rsidP="00620BBC">
      <w:pPr>
        <w:spacing w:after="120" w:line="240" w:lineRule="auto"/>
        <w:rPr>
          <w:b/>
          <w:bCs/>
        </w:rPr>
      </w:pPr>
      <w:r w:rsidRPr="007A3CFF">
        <w:rPr>
          <w:b/>
          <w:bCs/>
        </w:rPr>
        <w:t>Distribution of course duration</w:t>
      </w:r>
    </w:p>
    <w:p w14:paraId="592BB13E" w14:textId="39AB015A" w:rsidR="00F30AC1" w:rsidRDefault="00F30AC1" w:rsidP="00620BBC">
      <w:pPr>
        <w:spacing w:after="120" w:line="240" w:lineRule="auto"/>
        <w:rPr>
          <w:b/>
          <w:bCs/>
        </w:rPr>
      </w:pPr>
      <w:r>
        <w:rPr>
          <w:noProof/>
        </w:rPr>
        <w:drawing>
          <wp:inline distT="0" distB="0" distL="0" distR="0" wp14:anchorId="51BD104E" wp14:editId="1FFF5847">
            <wp:extent cx="5731510" cy="4435475"/>
            <wp:effectExtent l="0" t="0" r="2540" b="3175"/>
            <wp:docPr id="1053741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435475"/>
                    </a:xfrm>
                    <a:prstGeom prst="rect">
                      <a:avLst/>
                    </a:prstGeom>
                    <a:noFill/>
                    <a:ln>
                      <a:noFill/>
                    </a:ln>
                  </pic:spPr>
                </pic:pic>
              </a:graphicData>
            </a:graphic>
          </wp:inline>
        </w:drawing>
      </w:r>
    </w:p>
    <w:p w14:paraId="66103213" w14:textId="77777777" w:rsidR="000026A3" w:rsidRPr="007A3CFF" w:rsidRDefault="000026A3" w:rsidP="00620BBC">
      <w:pPr>
        <w:spacing w:after="120" w:line="240" w:lineRule="auto"/>
        <w:rPr>
          <w:b/>
          <w:bCs/>
        </w:rPr>
      </w:pPr>
    </w:p>
    <w:p w14:paraId="51A62213" w14:textId="3EE805DA" w:rsidR="00867B0E" w:rsidRPr="003029E3" w:rsidRDefault="00867B0E" w:rsidP="00620BBC">
      <w:pPr>
        <w:spacing w:after="120" w:line="240" w:lineRule="auto"/>
      </w:pPr>
    </w:p>
    <w:p w14:paraId="57144F45" w14:textId="4096CB96" w:rsidR="00186474" w:rsidRDefault="001D7D8F" w:rsidP="00620BBC">
      <w:pPr>
        <w:spacing w:after="120" w:line="240" w:lineRule="auto"/>
      </w:pPr>
      <w:r w:rsidRPr="001D7D8F">
        <w:t>The histogram of course durations reveals that most online courses cluster between 36 and 56 hours, with these ranges showing the highest frequency. Overall, the distribution is relatively balanced, with a large proportion of courses falling between 30 and 80 hours. Very short (under 17 hours) and very long (over 95 hours) courses are less common, as indicated by the shorter bars at both ends. This pattern suggests that course designers tend to favour moderate durations, likely to maintain learner engagement while delivering sufficient content. The data reflects a preference for structured yet manageable learning experiences across platforms.</w:t>
      </w:r>
    </w:p>
    <w:p w14:paraId="2D6BEDF5" w14:textId="77777777" w:rsidR="004A2E9B" w:rsidRDefault="004A2E9B" w:rsidP="00620BBC">
      <w:pPr>
        <w:spacing w:after="120" w:line="240" w:lineRule="auto"/>
        <w:rPr>
          <w:b/>
          <w:bCs/>
        </w:rPr>
      </w:pPr>
      <w:r>
        <w:rPr>
          <w:b/>
          <w:bCs/>
        </w:rPr>
        <w:br w:type="page"/>
      </w:r>
    </w:p>
    <w:p w14:paraId="7539CBDF" w14:textId="27276574" w:rsidR="004B23EE" w:rsidRDefault="00350DA5" w:rsidP="00620BBC">
      <w:pPr>
        <w:spacing w:after="120" w:line="240" w:lineRule="auto"/>
        <w:rPr>
          <w:b/>
          <w:bCs/>
        </w:rPr>
      </w:pPr>
      <w:r w:rsidRPr="007A3CFF">
        <w:rPr>
          <w:b/>
          <w:bCs/>
        </w:rPr>
        <w:lastRenderedPageBreak/>
        <w:t>Distribution of course enrolment</w:t>
      </w:r>
    </w:p>
    <w:p w14:paraId="2372F23E" w14:textId="0DAFD990" w:rsidR="00F30AC1" w:rsidRPr="007A3CFF" w:rsidRDefault="00040206" w:rsidP="00620BBC">
      <w:pPr>
        <w:spacing w:after="120" w:line="240" w:lineRule="auto"/>
        <w:rPr>
          <w:b/>
          <w:bCs/>
        </w:rPr>
      </w:pPr>
      <w:r>
        <w:rPr>
          <w:noProof/>
        </w:rPr>
        <w:drawing>
          <wp:inline distT="0" distB="0" distL="0" distR="0" wp14:anchorId="5E3304D3" wp14:editId="4DAEE0B3">
            <wp:extent cx="5731510" cy="4459605"/>
            <wp:effectExtent l="0" t="0" r="2540" b="0"/>
            <wp:docPr id="617297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459605"/>
                    </a:xfrm>
                    <a:prstGeom prst="rect">
                      <a:avLst/>
                    </a:prstGeom>
                    <a:noFill/>
                    <a:ln>
                      <a:noFill/>
                    </a:ln>
                  </pic:spPr>
                </pic:pic>
              </a:graphicData>
            </a:graphic>
          </wp:inline>
        </w:drawing>
      </w:r>
    </w:p>
    <w:p w14:paraId="203361EC" w14:textId="08393772" w:rsidR="00350DA5" w:rsidRDefault="00350DA5" w:rsidP="00620BBC">
      <w:pPr>
        <w:spacing w:after="120" w:line="240" w:lineRule="auto"/>
      </w:pPr>
    </w:p>
    <w:p w14:paraId="05841ACD" w14:textId="04DD0E06" w:rsidR="004B23EE" w:rsidRDefault="00AF774A" w:rsidP="00620BBC">
      <w:pPr>
        <w:spacing w:after="120" w:line="240" w:lineRule="auto"/>
      </w:pPr>
      <w:r w:rsidRPr="00AF774A">
        <w:t xml:space="preserve">The histogram of course enrolment shows that </w:t>
      </w:r>
      <w:proofErr w:type="gramStart"/>
      <w:r w:rsidRPr="00AF774A">
        <w:t>the majority of</w:t>
      </w:r>
      <w:proofErr w:type="gramEnd"/>
      <w:r w:rsidRPr="00AF774A">
        <w:t xml:space="preserve"> courses have fewer than 500 students, with enrolment levels becoming more evenly spread in mid-tier ranges up to around 4,900. Only a small number of courses reach peak enrolment beyond 4,900, suggesting that while a few courses achieve viral reach, most maintain moderate to low engagement. This reflects a long-tail distribution typical of online learning platforms, where few courses dominate in reach while many attract smaller, niche audiences</w:t>
      </w:r>
      <w:r w:rsidR="00B76504">
        <w:t>.</w:t>
      </w:r>
    </w:p>
    <w:p w14:paraId="7D5F4D86" w14:textId="77777777" w:rsidR="004A2E9B" w:rsidRDefault="004A2E9B" w:rsidP="00620BBC">
      <w:pPr>
        <w:spacing w:after="120" w:line="240" w:lineRule="auto"/>
        <w:rPr>
          <w:b/>
          <w:bCs/>
        </w:rPr>
      </w:pPr>
      <w:r>
        <w:rPr>
          <w:b/>
          <w:bCs/>
        </w:rPr>
        <w:br w:type="page"/>
      </w:r>
    </w:p>
    <w:p w14:paraId="48A68264" w14:textId="326D319C" w:rsidR="00C33313" w:rsidRPr="00513B1B" w:rsidRDefault="00620CF1" w:rsidP="00620BBC">
      <w:pPr>
        <w:spacing w:after="120" w:line="240" w:lineRule="auto"/>
        <w:rPr>
          <w:b/>
          <w:bCs/>
        </w:rPr>
      </w:pPr>
      <w:r>
        <w:rPr>
          <w:b/>
          <w:bCs/>
        </w:rPr>
        <w:lastRenderedPageBreak/>
        <w:t xml:space="preserve"> </w:t>
      </w:r>
      <w:r w:rsidR="00542B7C" w:rsidRPr="00513B1B">
        <w:rPr>
          <w:b/>
          <w:bCs/>
        </w:rPr>
        <w:t>Distribution of course completion rates</w:t>
      </w:r>
    </w:p>
    <w:p w14:paraId="0E4240EF" w14:textId="729ECA12" w:rsidR="00C33313" w:rsidRDefault="00B060CE" w:rsidP="00620BBC">
      <w:pPr>
        <w:spacing w:after="120" w:line="240" w:lineRule="auto"/>
      </w:pPr>
      <w:r>
        <w:rPr>
          <w:noProof/>
        </w:rPr>
        <mc:AlternateContent>
          <mc:Choice Requires="cx1">
            <w:drawing>
              <wp:inline distT="0" distB="0" distL="0" distR="0" wp14:anchorId="77EF504E" wp14:editId="4A21E657">
                <wp:extent cx="5731510" cy="4175125"/>
                <wp:effectExtent l="0" t="0" r="2540" b="15875"/>
                <wp:docPr id="2061997786" name="Chart 1">
                  <a:extLst xmlns:a="http://schemas.openxmlformats.org/drawingml/2006/main">
                    <a:ext uri="{FF2B5EF4-FFF2-40B4-BE49-F238E27FC236}">
                      <a16:creationId xmlns:a16="http://schemas.microsoft.com/office/drawing/2014/main" id="{30B618FF-075B-1BF3-4418-D76AE1A52AE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77EF504E" wp14:editId="4A21E657">
                <wp:extent cx="5731510" cy="4175125"/>
                <wp:effectExtent l="0" t="0" r="2540" b="15875"/>
                <wp:docPr id="2061997786" name="Chart 1">
                  <a:extLst xmlns:a="http://schemas.openxmlformats.org/drawingml/2006/main">
                    <a:ext uri="{FF2B5EF4-FFF2-40B4-BE49-F238E27FC236}">
                      <a16:creationId xmlns:a16="http://schemas.microsoft.com/office/drawing/2014/main" id="{30B618FF-075B-1BF3-4418-D76AE1A52AE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61997786" name="Chart 1">
                          <a:extLst>
                            <a:ext uri="{FF2B5EF4-FFF2-40B4-BE49-F238E27FC236}">
                              <a16:creationId xmlns:a16="http://schemas.microsoft.com/office/drawing/2014/main" id="{30B618FF-075B-1BF3-4418-D76AE1A52AE5}"/>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5731510" cy="4175125"/>
                        </a:xfrm>
                        <a:prstGeom prst="rect">
                          <a:avLst/>
                        </a:prstGeom>
                      </pic:spPr>
                    </pic:pic>
                  </a:graphicData>
                </a:graphic>
              </wp:inline>
            </w:drawing>
          </mc:Fallback>
        </mc:AlternateContent>
      </w:r>
    </w:p>
    <w:p w14:paraId="6252BC7C" w14:textId="36E51ACF" w:rsidR="00535809" w:rsidRDefault="00C33313" w:rsidP="00620BBC">
      <w:pPr>
        <w:spacing w:after="120" w:line="240" w:lineRule="auto"/>
      </w:pPr>
      <w:r w:rsidRPr="00C33313">
        <w:t xml:space="preserve">The boxplot shows that </w:t>
      </w:r>
      <w:proofErr w:type="gramStart"/>
      <w:r w:rsidRPr="00C33313">
        <w:t>the majority of</w:t>
      </w:r>
      <w:proofErr w:type="gramEnd"/>
      <w:r w:rsidRPr="00C33313">
        <w:t xml:space="preserve"> online courses have high completion rates, with the central 50% of courses falling between 62.82% and 87.53%. The median (75.17%) and mean (75.10%) are nearly identical, indicating a symmetric distribution with minimal skew. The minimum and maximum completion rates range from just over 50% to nearly 100%, suggesting that most courses achieve strong learner retention. This consistent trend highlights the effectiveness of online platforms in engaging students through to completion.</w:t>
      </w:r>
    </w:p>
    <w:p w14:paraId="24BB9867" w14:textId="77777777" w:rsidR="00AC518B" w:rsidRDefault="00AC518B" w:rsidP="00620BBC">
      <w:pPr>
        <w:spacing w:after="120" w:line="240" w:lineRule="auto"/>
        <w:rPr>
          <w:b/>
          <w:bCs/>
        </w:rPr>
      </w:pPr>
      <w:r>
        <w:rPr>
          <w:b/>
          <w:bCs/>
        </w:rPr>
        <w:br w:type="page"/>
      </w:r>
    </w:p>
    <w:p w14:paraId="67291C0C" w14:textId="7FBD859B" w:rsidR="00F106B1" w:rsidRDefault="00E301F4" w:rsidP="00620BBC">
      <w:pPr>
        <w:spacing w:after="120" w:line="240" w:lineRule="auto"/>
        <w:rPr>
          <w:b/>
          <w:bCs/>
        </w:rPr>
      </w:pPr>
      <w:r w:rsidRPr="00513B1B">
        <w:rPr>
          <w:b/>
          <w:bCs/>
        </w:rPr>
        <w:lastRenderedPageBreak/>
        <w:t>Distribution of course prices</w:t>
      </w:r>
    </w:p>
    <w:p w14:paraId="56AA7F69" w14:textId="2FC74B69" w:rsidR="00EB7491" w:rsidRPr="00513B1B" w:rsidRDefault="00EB7491" w:rsidP="00620BBC">
      <w:pPr>
        <w:spacing w:after="120" w:line="240" w:lineRule="auto"/>
        <w:rPr>
          <w:b/>
          <w:bCs/>
        </w:rPr>
      </w:pPr>
      <w:r>
        <w:rPr>
          <w:noProof/>
        </w:rPr>
        <w:drawing>
          <wp:inline distT="0" distB="0" distL="0" distR="0" wp14:anchorId="3C5160A3" wp14:editId="33250852">
            <wp:extent cx="5731510" cy="4427855"/>
            <wp:effectExtent l="0" t="0" r="2540" b="0"/>
            <wp:docPr id="1537679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427855"/>
                    </a:xfrm>
                    <a:prstGeom prst="rect">
                      <a:avLst/>
                    </a:prstGeom>
                    <a:noFill/>
                    <a:ln>
                      <a:noFill/>
                    </a:ln>
                  </pic:spPr>
                </pic:pic>
              </a:graphicData>
            </a:graphic>
          </wp:inline>
        </w:drawing>
      </w:r>
    </w:p>
    <w:p w14:paraId="1B02EED9" w14:textId="59B1330B" w:rsidR="00E301F4" w:rsidRDefault="00E301F4" w:rsidP="00620BBC">
      <w:pPr>
        <w:spacing w:after="120" w:line="240" w:lineRule="auto"/>
      </w:pPr>
    </w:p>
    <w:p w14:paraId="7DB8259F" w14:textId="47432051" w:rsidR="00EB173D" w:rsidRPr="00EB173D" w:rsidRDefault="00494E7E" w:rsidP="00620BBC">
      <w:pPr>
        <w:spacing w:after="120" w:line="240" w:lineRule="auto"/>
      </w:pPr>
      <w:r w:rsidRPr="00494E7E">
        <w:t xml:space="preserve">The Pareto chart of course prices shows that most online courses are concentrated in the mid-to-high price ranges, with the $108–122 range being the most common, hosting over 200 courses. Other price brackets, such as $136–150 and $164–178, also include </w:t>
      </w:r>
      <w:proofErr w:type="gramStart"/>
      <w:r w:rsidRPr="00494E7E">
        <w:t>a large number of</w:t>
      </w:r>
      <w:proofErr w:type="gramEnd"/>
      <w:r w:rsidRPr="00494E7E">
        <w:t xml:space="preserve"> courses, suggesting that course providers often choose these pricing tiers. In contrast, very low-priced courses (e.g., $10–24) and very high-priced ones ($192–206) are much less common.</w:t>
      </w:r>
    </w:p>
    <w:p w14:paraId="1C884B56" w14:textId="77777777" w:rsidR="00EB173D" w:rsidRDefault="00EB173D" w:rsidP="00620BBC">
      <w:pPr>
        <w:spacing w:after="120" w:line="240" w:lineRule="auto"/>
      </w:pPr>
      <w:r w:rsidRPr="00EB173D">
        <w:t xml:space="preserve">The cumulative percentage line indicates that a small number of price ranges account for </w:t>
      </w:r>
      <w:proofErr w:type="gramStart"/>
      <w:r w:rsidRPr="00EB173D">
        <w:t>the majority of</w:t>
      </w:r>
      <w:proofErr w:type="gramEnd"/>
      <w:r w:rsidRPr="00EB173D">
        <w:t xml:space="preserve"> courses, following the Pareto principle. For instance, approximately 80% of all courses are priced within the first seven price ranges. This insight is valuable for course providers or marketers to focus on these dominant pricing tiers, as they represent the bulk of offerings in the market. Conversely, fewer courses fall into lower or extremely high price ranges, such as $10.06–24.06 or $192.06–206.06, suggesting limited demand or supply in these segments.</w:t>
      </w:r>
    </w:p>
    <w:p w14:paraId="6023D2CB" w14:textId="77777777" w:rsidR="00AC518B" w:rsidRDefault="00AC518B" w:rsidP="00620BBC">
      <w:pPr>
        <w:spacing w:after="120" w:line="240" w:lineRule="auto"/>
        <w:rPr>
          <w:b/>
          <w:bCs/>
        </w:rPr>
      </w:pPr>
      <w:r>
        <w:rPr>
          <w:b/>
          <w:bCs/>
        </w:rPr>
        <w:br w:type="page"/>
      </w:r>
    </w:p>
    <w:p w14:paraId="2E289C67" w14:textId="4BD25C18" w:rsidR="00557997" w:rsidRPr="00513B1B" w:rsidRDefault="00557997" w:rsidP="00620BBC">
      <w:pPr>
        <w:spacing w:after="120" w:line="240" w:lineRule="auto"/>
        <w:rPr>
          <w:b/>
          <w:bCs/>
        </w:rPr>
      </w:pPr>
      <w:r w:rsidRPr="00513B1B">
        <w:rPr>
          <w:b/>
          <w:bCs/>
        </w:rPr>
        <w:lastRenderedPageBreak/>
        <w:t>Distri</w:t>
      </w:r>
      <w:r w:rsidR="008B6A80" w:rsidRPr="00513B1B">
        <w:rPr>
          <w:b/>
          <w:bCs/>
        </w:rPr>
        <w:t>bution of course ratings</w:t>
      </w:r>
    </w:p>
    <w:p w14:paraId="177E8542" w14:textId="0D3CAB14" w:rsidR="008B6A80" w:rsidRDefault="005556F0" w:rsidP="00620BBC">
      <w:pPr>
        <w:spacing w:after="120" w:line="240" w:lineRule="auto"/>
      </w:pPr>
      <w:r>
        <w:rPr>
          <w:noProof/>
        </w:rPr>
        <w:drawing>
          <wp:inline distT="0" distB="0" distL="0" distR="0" wp14:anchorId="792E4C29" wp14:editId="7D6E73E7">
            <wp:extent cx="5731510" cy="3296920"/>
            <wp:effectExtent l="0" t="0" r="2540" b="0"/>
            <wp:docPr id="1594413552" name="Picture 4" descr="A graph of course ra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13552" name="Picture 4" descr="A graph of course rating&#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296920"/>
                    </a:xfrm>
                    <a:prstGeom prst="rect">
                      <a:avLst/>
                    </a:prstGeom>
                    <a:noFill/>
                    <a:ln>
                      <a:noFill/>
                    </a:ln>
                  </pic:spPr>
                </pic:pic>
              </a:graphicData>
            </a:graphic>
          </wp:inline>
        </w:drawing>
      </w:r>
    </w:p>
    <w:p w14:paraId="5A7EEBCB" w14:textId="7B3E8AED" w:rsidR="008B6A80" w:rsidRDefault="00C44845" w:rsidP="00620BBC">
      <w:pPr>
        <w:spacing w:after="120" w:line="240" w:lineRule="auto"/>
      </w:pPr>
      <w:r w:rsidRPr="00451856">
        <w:t xml:space="preserve">The histogram of course ratings </w:t>
      </w:r>
      <w:r w:rsidR="00B85446" w:rsidRPr="00451856">
        <w:t>reveal</w:t>
      </w:r>
      <w:r w:rsidRPr="00451856">
        <w:t xml:space="preserve"> a clear pattern: </w:t>
      </w:r>
      <w:proofErr w:type="gramStart"/>
      <w:r w:rsidRPr="00451856">
        <w:t>the majority of</w:t>
      </w:r>
      <w:proofErr w:type="gramEnd"/>
      <w:r w:rsidRPr="00451856">
        <w:t xml:space="preserve"> online courses are rated between 4.0 and 4.8, with the highest concentration in the 4.05–4.2 range. This suggests that learners generally provide positive feedback, and platforms tend to maintain a </w:t>
      </w:r>
      <w:proofErr w:type="gramStart"/>
      <w:r w:rsidRPr="00451856">
        <w:t>high quality</w:t>
      </w:r>
      <w:proofErr w:type="gramEnd"/>
      <w:r w:rsidRPr="00451856">
        <w:t xml:space="preserve"> standard. Very few courses fall below a rating of 3.5, indicating that poorly rated courses are rare. The distribution is right-skewed, showing a strong tilt toward higher ratings. This reflects a competitive landscape where new or existing courses must maintain high quality and learner satisfaction to stand out. To remain competitive, course providers should target a minimum rating of 4.2 or above.</w:t>
      </w:r>
    </w:p>
    <w:p w14:paraId="78138DCA" w14:textId="77777777" w:rsidR="00FE47AA" w:rsidRDefault="00FE47AA" w:rsidP="00620BBC">
      <w:pPr>
        <w:pStyle w:val="Heading2"/>
        <w:spacing w:before="0" w:after="120" w:line="240" w:lineRule="auto"/>
      </w:pPr>
      <w:bookmarkStart w:id="6" w:name="_Toc194084541"/>
      <w:r>
        <w:t xml:space="preserve">4.3 </w:t>
      </w:r>
      <w:r w:rsidRPr="00F21D7E">
        <w:t>Cross-</w:t>
      </w:r>
      <w:r>
        <w:t>p</w:t>
      </w:r>
      <w:r w:rsidRPr="00F21D7E">
        <w:t xml:space="preserve">latform </w:t>
      </w:r>
      <w:r>
        <w:t>p</w:t>
      </w:r>
      <w:r w:rsidRPr="00F21D7E">
        <w:t xml:space="preserve">erformance of </w:t>
      </w:r>
      <w:r>
        <w:t>o</w:t>
      </w:r>
      <w:r w:rsidRPr="00F21D7E">
        <w:t xml:space="preserve">nline </w:t>
      </w:r>
      <w:r>
        <w:t>c</w:t>
      </w:r>
      <w:r w:rsidRPr="00F21D7E">
        <w:t xml:space="preserve">ourses: Insights from </w:t>
      </w:r>
      <w:r>
        <w:t>r</w:t>
      </w:r>
      <w:r w:rsidRPr="00F21D7E">
        <w:t xml:space="preserve">atings, </w:t>
      </w:r>
      <w:r>
        <w:t>c</w:t>
      </w:r>
      <w:r w:rsidRPr="00F21D7E">
        <w:t xml:space="preserve">ompletion, and </w:t>
      </w:r>
      <w:r>
        <w:t>p</w:t>
      </w:r>
      <w:r w:rsidRPr="00F21D7E">
        <w:t xml:space="preserve">ricing </w:t>
      </w:r>
      <w:r>
        <w:t>d</w:t>
      </w:r>
      <w:r w:rsidRPr="00F21D7E">
        <w:t>ata</w:t>
      </w:r>
      <w:bookmarkEnd w:id="6"/>
    </w:p>
    <w:p w14:paraId="6A80BBF0" w14:textId="2D1BD578" w:rsidR="003029E3" w:rsidRPr="00C42E78" w:rsidRDefault="00C42E78" w:rsidP="00620BBC">
      <w:pPr>
        <w:spacing w:after="120" w:line="240" w:lineRule="auto"/>
        <w:rPr>
          <w:b/>
          <w:bCs/>
        </w:rPr>
      </w:pPr>
      <w:r w:rsidRPr="00C42E78">
        <w:rPr>
          <w:b/>
          <w:bCs/>
        </w:rPr>
        <w:t xml:space="preserve">Table: </w:t>
      </w:r>
      <w:r w:rsidR="001B4617" w:rsidRPr="00C42E78">
        <w:rPr>
          <w:b/>
          <w:bCs/>
        </w:rPr>
        <w:t>Average course rating by platform</w:t>
      </w:r>
    </w:p>
    <w:tbl>
      <w:tblPr>
        <w:tblStyle w:val="GridTable4-Accent1"/>
        <w:tblW w:w="0" w:type="auto"/>
        <w:tblLook w:val="04A0" w:firstRow="1" w:lastRow="0" w:firstColumn="1" w:lastColumn="0" w:noHBand="0" w:noVBand="1"/>
      </w:tblPr>
      <w:tblGrid>
        <w:gridCol w:w="2830"/>
        <w:gridCol w:w="4253"/>
      </w:tblGrid>
      <w:tr w:rsidR="00DB6A6B" w:rsidRPr="008D5449" w14:paraId="77A289F9" w14:textId="77777777" w:rsidTr="00DB6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567112AB" w14:textId="77777777" w:rsidR="008D5449" w:rsidRPr="008D5449" w:rsidRDefault="008D5449" w:rsidP="00620BBC">
            <w:pPr>
              <w:spacing w:after="120" w:line="240" w:lineRule="auto"/>
            </w:pPr>
            <w:r w:rsidRPr="008D5449">
              <w:t>Platform</w:t>
            </w:r>
          </w:p>
        </w:tc>
        <w:tc>
          <w:tcPr>
            <w:tcW w:w="4253" w:type="dxa"/>
            <w:hideMark/>
          </w:tcPr>
          <w:p w14:paraId="4AE61438" w14:textId="77777777" w:rsidR="008D5449" w:rsidRPr="008D5449" w:rsidRDefault="008D5449"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8D5449">
              <w:t>Average Rating (out of 5)</w:t>
            </w:r>
          </w:p>
        </w:tc>
      </w:tr>
      <w:tr w:rsidR="00481DBC" w:rsidRPr="008D5449" w14:paraId="79D1D358" w14:textId="77777777" w:rsidTr="00DB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3194094C" w14:textId="77777777" w:rsidR="008D5449" w:rsidRPr="008D5449" w:rsidRDefault="008D5449" w:rsidP="00620BBC">
            <w:pPr>
              <w:spacing w:after="120" w:line="240" w:lineRule="auto"/>
            </w:pPr>
            <w:r w:rsidRPr="008D5449">
              <w:t>Coursera</w:t>
            </w:r>
          </w:p>
        </w:tc>
        <w:tc>
          <w:tcPr>
            <w:tcW w:w="4253" w:type="dxa"/>
            <w:hideMark/>
          </w:tcPr>
          <w:p w14:paraId="17357B8F" w14:textId="77777777" w:rsidR="008D5449" w:rsidRPr="008D5449" w:rsidRDefault="008D544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8D5449">
              <w:t>4.0003</w:t>
            </w:r>
          </w:p>
        </w:tc>
      </w:tr>
      <w:tr w:rsidR="00DB6A6B" w:rsidRPr="008D5449" w14:paraId="08958D83" w14:textId="77777777" w:rsidTr="00DB6A6B">
        <w:tc>
          <w:tcPr>
            <w:cnfStyle w:val="001000000000" w:firstRow="0" w:lastRow="0" w:firstColumn="1" w:lastColumn="0" w:oddVBand="0" w:evenVBand="0" w:oddHBand="0" w:evenHBand="0" w:firstRowFirstColumn="0" w:firstRowLastColumn="0" w:lastRowFirstColumn="0" w:lastRowLastColumn="0"/>
            <w:tcW w:w="2830" w:type="dxa"/>
            <w:hideMark/>
          </w:tcPr>
          <w:p w14:paraId="01A5D23B" w14:textId="77777777" w:rsidR="008D5449" w:rsidRPr="008D5449" w:rsidRDefault="008D5449" w:rsidP="00620BBC">
            <w:pPr>
              <w:spacing w:after="120" w:line="240" w:lineRule="auto"/>
            </w:pPr>
            <w:r w:rsidRPr="008D5449">
              <w:t>edX</w:t>
            </w:r>
          </w:p>
        </w:tc>
        <w:tc>
          <w:tcPr>
            <w:tcW w:w="4253" w:type="dxa"/>
            <w:hideMark/>
          </w:tcPr>
          <w:p w14:paraId="517ECD44" w14:textId="77777777" w:rsidR="008D5449" w:rsidRPr="008D5449" w:rsidRDefault="008D5449"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8D5449">
              <w:t>4.0032</w:t>
            </w:r>
          </w:p>
        </w:tc>
      </w:tr>
      <w:tr w:rsidR="00481DBC" w:rsidRPr="008D5449" w14:paraId="5E2959A1" w14:textId="77777777" w:rsidTr="00DB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6C62976E" w14:textId="77777777" w:rsidR="008D5449" w:rsidRPr="008D5449" w:rsidRDefault="008D5449" w:rsidP="00620BBC">
            <w:pPr>
              <w:spacing w:after="120" w:line="240" w:lineRule="auto"/>
            </w:pPr>
            <w:r w:rsidRPr="008D5449">
              <w:t>LinkedIn Learning</w:t>
            </w:r>
          </w:p>
        </w:tc>
        <w:tc>
          <w:tcPr>
            <w:tcW w:w="4253" w:type="dxa"/>
            <w:hideMark/>
          </w:tcPr>
          <w:p w14:paraId="1D5843AF" w14:textId="77777777" w:rsidR="008D5449" w:rsidRPr="008D5449" w:rsidRDefault="008D544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8D5449">
              <w:t>3.9726</w:t>
            </w:r>
          </w:p>
        </w:tc>
      </w:tr>
      <w:tr w:rsidR="00DB6A6B" w:rsidRPr="008D5449" w14:paraId="52B6F253" w14:textId="77777777" w:rsidTr="00DB6A6B">
        <w:tc>
          <w:tcPr>
            <w:cnfStyle w:val="001000000000" w:firstRow="0" w:lastRow="0" w:firstColumn="1" w:lastColumn="0" w:oddVBand="0" w:evenVBand="0" w:oddHBand="0" w:evenHBand="0" w:firstRowFirstColumn="0" w:firstRowLastColumn="0" w:lastRowFirstColumn="0" w:lastRowLastColumn="0"/>
            <w:tcW w:w="2830" w:type="dxa"/>
            <w:hideMark/>
          </w:tcPr>
          <w:p w14:paraId="73605325" w14:textId="77777777" w:rsidR="008D5449" w:rsidRPr="008D5449" w:rsidRDefault="008D5449" w:rsidP="00620BBC">
            <w:pPr>
              <w:spacing w:after="120" w:line="240" w:lineRule="auto"/>
            </w:pPr>
            <w:r w:rsidRPr="008D5449">
              <w:t>Udemy</w:t>
            </w:r>
          </w:p>
        </w:tc>
        <w:tc>
          <w:tcPr>
            <w:tcW w:w="4253" w:type="dxa"/>
            <w:hideMark/>
          </w:tcPr>
          <w:p w14:paraId="5162B497" w14:textId="77777777" w:rsidR="008D5449" w:rsidRPr="008D5449" w:rsidRDefault="008D5449"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8D5449">
              <w:t>4.0006</w:t>
            </w:r>
          </w:p>
        </w:tc>
      </w:tr>
    </w:tbl>
    <w:p w14:paraId="7753217C" w14:textId="77777777" w:rsidR="001B4617" w:rsidRDefault="001B4617" w:rsidP="00620BBC">
      <w:pPr>
        <w:spacing w:after="120" w:line="240" w:lineRule="auto"/>
      </w:pPr>
    </w:p>
    <w:p w14:paraId="62B23E59" w14:textId="77777777" w:rsidR="00887AF1" w:rsidRDefault="00887AF1" w:rsidP="00620BBC">
      <w:pPr>
        <w:spacing w:after="120" w:line="240" w:lineRule="auto"/>
      </w:pPr>
    </w:p>
    <w:p w14:paraId="31130944" w14:textId="7FE97DC7" w:rsidR="00887AF1" w:rsidRDefault="00B64B67" w:rsidP="00620BBC">
      <w:pPr>
        <w:spacing w:after="120" w:line="240" w:lineRule="auto"/>
      </w:pPr>
      <w:r>
        <w:rPr>
          <w:noProof/>
        </w:rPr>
        <w:lastRenderedPageBreak/>
        <mc:AlternateContent>
          <mc:Choice Requires="cx1">
            <w:drawing>
              <wp:inline distT="0" distB="0" distL="0" distR="0" wp14:anchorId="3B8B4875" wp14:editId="7DB2F981">
                <wp:extent cx="5827853" cy="3879078"/>
                <wp:effectExtent l="0" t="0" r="1905" b="7620"/>
                <wp:docPr id="335157115" name="Chart 1">
                  <a:extLst xmlns:a="http://schemas.openxmlformats.org/drawingml/2006/main">
                    <a:ext uri="{FF2B5EF4-FFF2-40B4-BE49-F238E27FC236}">
                      <a16:creationId xmlns:a16="http://schemas.microsoft.com/office/drawing/2014/main" id="{7558048E-2B25-552A-A4BD-7D241620C2A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3B8B4875" wp14:editId="7DB2F981">
                <wp:extent cx="5827853" cy="3879078"/>
                <wp:effectExtent l="0" t="0" r="1905" b="7620"/>
                <wp:docPr id="335157115" name="Chart 1">
                  <a:extLst xmlns:a="http://schemas.openxmlformats.org/drawingml/2006/main">
                    <a:ext uri="{FF2B5EF4-FFF2-40B4-BE49-F238E27FC236}">
                      <a16:creationId xmlns:a16="http://schemas.microsoft.com/office/drawing/2014/main" id="{7558048E-2B25-552A-A4BD-7D241620C2A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35157115" name="Chart 1">
                          <a:extLst>
                            <a:ext uri="{FF2B5EF4-FFF2-40B4-BE49-F238E27FC236}">
                              <a16:creationId xmlns:a16="http://schemas.microsoft.com/office/drawing/2014/main" id="{7558048E-2B25-552A-A4BD-7D241620C2AF}"/>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5827395" cy="3878580"/>
                        </a:xfrm>
                        <a:prstGeom prst="rect">
                          <a:avLst/>
                        </a:prstGeom>
                      </pic:spPr>
                    </pic:pic>
                  </a:graphicData>
                </a:graphic>
              </wp:inline>
            </w:drawing>
          </mc:Fallback>
        </mc:AlternateContent>
      </w:r>
    </w:p>
    <w:p w14:paraId="10E6932B" w14:textId="15EFF559" w:rsidR="00C807FA" w:rsidRPr="00C807FA" w:rsidRDefault="00C807FA" w:rsidP="00620BBC">
      <w:pPr>
        <w:tabs>
          <w:tab w:val="num" w:pos="720"/>
        </w:tabs>
        <w:spacing w:after="120" w:line="240" w:lineRule="auto"/>
      </w:pPr>
      <w:r w:rsidRPr="00C807FA">
        <w:t>The chart illustrates the average user ratings across four online learning platforms: Coursera, edX, LinkedIn Learning, and Udemy, based on a 5-point scale.</w:t>
      </w:r>
      <w:r w:rsidR="00D72AC4">
        <w:t xml:space="preserve"> </w:t>
      </w:r>
      <w:r w:rsidRPr="00C807FA">
        <w:t>edX stands out with the highest average rating, slightly above 4.00. This suggests that learners perceive edX courses as being of very high quality and consistency.</w:t>
      </w:r>
      <w:r w:rsidR="00D72AC4">
        <w:t xml:space="preserve"> </w:t>
      </w:r>
      <w:r w:rsidRPr="00C807FA">
        <w:t>Udemy and Coursera follow closely, both averaging just above 4.00. Their nearly identical scores reflect a strong and stable level of learner satisfaction.</w:t>
      </w:r>
      <w:r w:rsidR="001B4617">
        <w:t xml:space="preserve"> </w:t>
      </w:r>
      <w:r w:rsidRPr="00C807FA">
        <w:t>LinkedIn Learning, while still rated positively, shows a slightly lower average of just under 3.98. Though this is a marginal difference, it may point to variability in course quality or differences in learner expectations.</w:t>
      </w:r>
    </w:p>
    <w:p w14:paraId="716E0A19" w14:textId="77777777" w:rsidR="00A34164" w:rsidRDefault="00A34164" w:rsidP="00620BBC">
      <w:pPr>
        <w:spacing w:after="120" w:line="240" w:lineRule="auto"/>
        <w:rPr>
          <w:b/>
          <w:bCs/>
        </w:rPr>
      </w:pPr>
      <w:r>
        <w:rPr>
          <w:b/>
          <w:bCs/>
        </w:rPr>
        <w:br w:type="page"/>
      </w:r>
    </w:p>
    <w:p w14:paraId="008A4754" w14:textId="5D3FBE22" w:rsidR="00491651" w:rsidRPr="00513B1B" w:rsidRDefault="00533D6B" w:rsidP="00620BBC">
      <w:pPr>
        <w:spacing w:after="120" w:line="240" w:lineRule="auto"/>
        <w:rPr>
          <w:b/>
          <w:bCs/>
        </w:rPr>
      </w:pPr>
      <w:r w:rsidRPr="00513B1B">
        <w:rPr>
          <w:b/>
          <w:bCs/>
        </w:rPr>
        <w:lastRenderedPageBreak/>
        <w:t>Impact of course duration on ratings and completion rates</w:t>
      </w:r>
    </w:p>
    <w:p w14:paraId="4B50E7A7" w14:textId="1571F7D6" w:rsidR="00576514" w:rsidRPr="00C42E78" w:rsidRDefault="00576514" w:rsidP="00620BBC">
      <w:pPr>
        <w:spacing w:after="120" w:line="240" w:lineRule="auto"/>
        <w:rPr>
          <w:b/>
          <w:bCs/>
        </w:rPr>
      </w:pPr>
      <w:r w:rsidRPr="00C42E78">
        <w:rPr>
          <w:b/>
          <w:bCs/>
        </w:rPr>
        <w:t>Table:</w:t>
      </w:r>
      <w:r w:rsidR="00C42E78" w:rsidRPr="00C42E78">
        <w:rPr>
          <w:b/>
          <w:bCs/>
        </w:rPr>
        <w:t xml:space="preserve"> </w:t>
      </w:r>
      <w:r w:rsidRPr="00C42E78">
        <w:rPr>
          <w:b/>
          <w:bCs/>
        </w:rPr>
        <w:t>Average rating and completion rate by course duration</w:t>
      </w:r>
    </w:p>
    <w:tbl>
      <w:tblPr>
        <w:tblStyle w:val="GridTable4-Accent1"/>
        <w:tblW w:w="0" w:type="auto"/>
        <w:tblLook w:val="04A0" w:firstRow="1" w:lastRow="0" w:firstColumn="1" w:lastColumn="0" w:noHBand="0" w:noVBand="1"/>
      </w:tblPr>
      <w:tblGrid>
        <w:gridCol w:w="2735"/>
        <w:gridCol w:w="2883"/>
        <w:gridCol w:w="3171"/>
      </w:tblGrid>
      <w:tr w:rsidR="00954269" w:rsidRPr="00954269" w14:paraId="5F35A1DB" w14:textId="77777777" w:rsidTr="00A34164">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735" w:type="dxa"/>
            <w:hideMark/>
          </w:tcPr>
          <w:p w14:paraId="6893A955" w14:textId="5D6F717B" w:rsidR="00954269" w:rsidRPr="00954269" w:rsidRDefault="00954269" w:rsidP="00620BBC">
            <w:pPr>
              <w:spacing w:after="120" w:line="240" w:lineRule="auto"/>
            </w:pPr>
            <w:r w:rsidRPr="00954269">
              <w:t>Course Duration</w:t>
            </w:r>
            <w:r>
              <w:t xml:space="preserve"> (hours)</w:t>
            </w:r>
          </w:p>
        </w:tc>
        <w:tc>
          <w:tcPr>
            <w:tcW w:w="2883" w:type="dxa"/>
            <w:hideMark/>
          </w:tcPr>
          <w:p w14:paraId="03D41619" w14:textId="77777777" w:rsidR="00954269" w:rsidRPr="00954269" w:rsidRDefault="00954269"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954269">
              <w:t>Average Rating (out of 5)</w:t>
            </w:r>
          </w:p>
        </w:tc>
        <w:tc>
          <w:tcPr>
            <w:tcW w:w="3171" w:type="dxa"/>
            <w:hideMark/>
          </w:tcPr>
          <w:p w14:paraId="7A6065FD" w14:textId="77777777" w:rsidR="00954269" w:rsidRPr="00954269" w:rsidRDefault="00954269"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954269">
              <w:t>Average Completion Rate (%)</w:t>
            </w:r>
          </w:p>
        </w:tc>
      </w:tr>
      <w:tr w:rsidR="00954269" w:rsidRPr="00954269" w14:paraId="6E78A3C9" w14:textId="77777777" w:rsidTr="00A34164">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735" w:type="dxa"/>
            <w:hideMark/>
          </w:tcPr>
          <w:p w14:paraId="278F2DA5" w14:textId="17616782" w:rsidR="00954269" w:rsidRPr="00954269" w:rsidRDefault="00954269" w:rsidP="00620BBC">
            <w:pPr>
              <w:spacing w:after="120" w:line="240" w:lineRule="auto"/>
            </w:pPr>
            <w:r w:rsidRPr="00954269">
              <w:t xml:space="preserve">10–20 </w:t>
            </w:r>
          </w:p>
        </w:tc>
        <w:tc>
          <w:tcPr>
            <w:tcW w:w="2883" w:type="dxa"/>
            <w:hideMark/>
          </w:tcPr>
          <w:p w14:paraId="3AD6D9AD" w14:textId="77777777" w:rsidR="00954269" w:rsidRPr="00954269" w:rsidRDefault="0095426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954269">
              <w:t>4.01</w:t>
            </w:r>
          </w:p>
        </w:tc>
        <w:tc>
          <w:tcPr>
            <w:tcW w:w="3171" w:type="dxa"/>
            <w:hideMark/>
          </w:tcPr>
          <w:p w14:paraId="5F69874E" w14:textId="77777777" w:rsidR="00954269" w:rsidRPr="00954269" w:rsidRDefault="0095426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954269">
              <w:t>74.62%</w:t>
            </w:r>
          </w:p>
        </w:tc>
      </w:tr>
      <w:tr w:rsidR="00954269" w:rsidRPr="00954269" w14:paraId="43B5AA48" w14:textId="77777777" w:rsidTr="00A34164">
        <w:trPr>
          <w:trHeight w:val="475"/>
        </w:trPr>
        <w:tc>
          <w:tcPr>
            <w:cnfStyle w:val="001000000000" w:firstRow="0" w:lastRow="0" w:firstColumn="1" w:lastColumn="0" w:oddVBand="0" w:evenVBand="0" w:oddHBand="0" w:evenHBand="0" w:firstRowFirstColumn="0" w:firstRowLastColumn="0" w:lastRowFirstColumn="0" w:lastRowLastColumn="0"/>
            <w:tcW w:w="2735" w:type="dxa"/>
            <w:hideMark/>
          </w:tcPr>
          <w:p w14:paraId="253037CE" w14:textId="0ECCA851" w:rsidR="00954269" w:rsidRPr="00954269" w:rsidRDefault="00954269" w:rsidP="00620BBC">
            <w:pPr>
              <w:spacing w:after="120" w:line="240" w:lineRule="auto"/>
            </w:pPr>
            <w:r w:rsidRPr="00954269">
              <w:t xml:space="preserve">20–30 </w:t>
            </w:r>
          </w:p>
        </w:tc>
        <w:tc>
          <w:tcPr>
            <w:tcW w:w="2883" w:type="dxa"/>
            <w:hideMark/>
          </w:tcPr>
          <w:p w14:paraId="45D98EF6" w14:textId="77777777" w:rsidR="00954269" w:rsidRPr="00954269" w:rsidRDefault="00954269"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954269">
              <w:t>4.00</w:t>
            </w:r>
          </w:p>
        </w:tc>
        <w:tc>
          <w:tcPr>
            <w:tcW w:w="3171" w:type="dxa"/>
            <w:hideMark/>
          </w:tcPr>
          <w:p w14:paraId="464E44E4" w14:textId="77777777" w:rsidR="00954269" w:rsidRPr="00954269" w:rsidRDefault="00954269"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954269">
              <w:t>75.00%</w:t>
            </w:r>
          </w:p>
        </w:tc>
      </w:tr>
      <w:tr w:rsidR="00954269" w:rsidRPr="00954269" w14:paraId="7F3B5874" w14:textId="77777777" w:rsidTr="00A34164">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735" w:type="dxa"/>
            <w:hideMark/>
          </w:tcPr>
          <w:p w14:paraId="2B5262A0" w14:textId="5C61E6D8" w:rsidR="00954269" w:rsidRPr="00954269" w:rsidRDefault="00954269" w:rsidP="00620BBC">
            <w:pPr>
              <w:spacing w:after="120" w:line="240" w:lineRule="auto"/>
            </w:pPr>
            <w:r w:rsidRPr="00954269">
              <w:t xml:space="preserve">30–40 </w:t>
            </w:r>
          </w:p>
        </w:tc>
        <w:tc>
          <w:tcPr>
            <w:tcW w:w="2883" w:type="dxa"/>
            <w:hideMark/>
          </w:tcPr>
          <w:p w14:paraId="129E5F22" w14:textId="77777777" w:rsidR="00954269" w:rsidRPr="00954269" w:rsidRDefault="0095426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954269">
              <w:t>4.00</w:t>
            </w:r>
          </w:p>
        </w:tc>
        <w:tc>
          <w:tcPr>
            <w:tcW w:w="3171" w:type="dxa"/>
            <w:hideMark/>
          </w:tcPr>
          <w:p w14:paraId="60B44802" w14:textId="77777777" w:rsidR="00954269" w:rsidRPr="00954269" w:rsidRDefault="0095426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954269">
              <w:t>75.37%</w:t>
            </w:r>
          </w:p>
        </w:tc>
      </w:tr>
      <w:tr w:rsidR="00954269" w:rsidRPr="00954269" w14:paraId="5677AA90" w14:textId="77777777" w:rsidTr="00A34164">
        <w:trPr>
          <w:trHeight w:val="475"/>
        </w:trPr>
        <w:tc>
          <w:tcPr>
            <w:cnfStyle w:val="001000000000" w:firstRow="0" w:lastRow="0" w:firstColumn="1" w:lastColumn="0" w:oddVBand="0" w:evenVBand="0" w:oddHBand="0" w:evenHBand="0" w:firstRowFirstColumn="0" w:firstRowLastColumn="0" w:lastRowFirstColumn="0" w:lastRowLastColumn="0"/>
            <w:tcW w:w="2735" w:type="dxa"/>
            <w:hideMark/>
          </w:tcPr>
          <w:p w14:paraId="22BD5147" w14:textId="32E1C7E2" w:rsidR="00954269" w:rsidRPr="00954269" w:rsidRDefault="00954269" w:rsidP="00620BBC">
            <w:pPr>
              <w:spacing w:after="120" w:line="240" w:lineRule="auto"/>
            </w:pPr>
            <w:r w:rsidRPr="00954269">
              <w:t xml:space="preserve">40–50 </w:t>
            </w:r>
          </w:p>
        </w:tc>
        <w:tc>
          <w:tcPr>
            <w:tcW w:w="2883" w:type="dxa"/>
            <w:hideMark/>
          </w:tcPr>
          <w:p w14:paraId="53E3E370" w14:textId="77777777" w:rsidR="00954269" w:rsidRPr="00954269" w:rsidRDefault="00954269"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954269">
              <w:t>4.01</w:t>
            </w:r>
          </w:p>
        </w:tc>
        <w:tc>
          <w:tcPr>
            <w:tcW w:w="3171" w:type="dxa"/>
            <w:hideMark/>
          </w:tcPr>
          <w:p w14:paraId="689926F0" w14:textId="77777777" w:rsidR="00954269" w:rsidRPr="00954269" w:rsidRDefault="00954269"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954269">
              <w:t>75.30%</w:t>
            </w:r>
          </w:p>
        </w:tc>
      </w:tr>
      <w:tr w:rsidR="00954269" w:rsidRPr="00954269" w14:paraId="621A833C" w14:textId="77777777" w:rsidTr="00A34164">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735" w:type="dxa"/>
            <w:hideMark/>
          </w:tcPr>
          <w:p w14:paraId="47D74D4C" w14:textId="1ABDF3A8" w:rsidR="00954269" w:rsidRPr="00954269" w:rsidRDefault="00954269" w:rsidP="00620BBC">
            <w:pPr>
              <w:spacing w:after="120" w:line="240" w:lineRule="auto"/>
            </w:pPr>
            <w:r w:rsidRPr="00954269">
              <w:t xml:space="preserve">50–60 </w:t>
            </w:r>
          </w:p>
        </w:tc>
        <w:tc>
          <w:tcPr>
            <w:tcW w:w="2883" w:type="dxa"/>
            <w:hideMark/>
          </w:tcPr>
          <w:p w14:paraId="29BD4789" w14:textId="77777777" w:rsidR="00954269" w:rsidRPr="00954269" w:rsidRDefault="0095426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954269">
              <w:t>3.97</w:t>
            </w:r>
          </w:p>
        </w:tc>
        <w:tc>
          <w:tcPr>
            <w:tcW w:w="3171" w:type="dxa"/>
            <w:hideMark/>
          </w:tcPr>
          <w:p w14:paraId="5D6E0DF6" w14:textId="77777777" w:rsidR="00954269" w:rsidRPr="00954269" w:rsidRDefault="0095426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954269">
              <w:t>74.88%</w:t>
            </w:r>
          </w:p>
        </w:tc>
      </w:tr>
      <w:tr w:rsidR="00954269" w:rsidRPr="00954269" w14:paraId="07C4ECB2" w14:textId="77777777" w:rsidTr="00A34164">
        <w:trPr>
          <w:trHeight w:val="475"/>
        </w:trPr>
        <w:tc>
          <w:tcPr>
            <w:cnfStyle w:val="001000000000" w:firstRow="0" w:lastRow="0" w:firstColumn="1" w:lastColumn="0" w:oddVBand="0" w:evenVBand="0" w:oddHBand="0" w:evenHBand="0" w:firstRowFirstColumn="0" w:firstRowLastColumn="0" w:lastRowFirstColumn="0" w:lastRowLastColumn="0"/>
            <w:tcW w:w="2735" w:type="dxa"/>
            <w:hideMark/>
          </w:tcPr>
          <w:p w14:paraId="2E299214" w14:textId="0439439C" w:rsidR="00954269" w:rsidRPr="00954269" w:rsidRDefault="00954269" w:rsidP="00620BBC">
            <w:pPr>
              <w:spacing w:after="120" w:line="240" w:lineRule="auto"/>
            </w:pPr>
            <w:r w:rsidRPr="00954269">
              <w:t xml:space="preserve">60–70 </w:t>
            </w:r>
          </w:p>
        </w:tc>
        <w:tc>
          <w:tcPr>
            <w:tcW w:w="2883" w:type="dxa"/>
            <w:hideMark/>
          </w:tcPr>
          <w:p w14:paraId="0BD5D7B8" w14:textId="77777777" w:rsidR="00954269" w:rsidRPr="00954269" w:rsidRDefault="00954269"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954269">
              <w:t>3.97</w:t>
            </w:r>
          </w:p>
        </w:tc>
        <w:tc>
          <w:tcPr>
            <w:tcW w:w="3171" w:type="dxa"/>
            <w:hideMark/>
          </w:tcPr>
          <w:p w14:paraId="25C16824" w14:textId="77777777" w:rsidR="00954269" w:rsidRPr="00954269" w:rsidRDefault="00954269"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954269">
              <w:t>74.58%</w:t>
            </w:r>
          </w:p>
        </w:tc>
      </w:tr>
      <w:tr w:rsidR="00954269" w:rsidRPr="00954269" w14:paraId="08F10E69" w14:textId="77777777" w:rsidTr="00A34164">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735" w:type="dxa"/>
            <w:hideMark/>
          </w:tcPr>
          <w:p w14:paraId="28B9244F" w14:textId="23E36767" w:rsidR="00954269" w:rsidRPr="00954269" w:rsidRDefault="00954269" w:rsidP="00620BBC">
            <w:pPr>
              <w:spacing w:after="120" w:line="240" w:lineRule="auto"/>
            </w:pPr>
            <w:r w:rsidRPr="00954269">
              <w:t xml:space="preserve">70–80 </w:t>
            </w:r>
          </w:p>
        </w:tc>
        <w:tc>
          <w:tcPr>
            <w:tcW w:w="2883" w:type="dxa"/>
            <w:hideMark/>
          </w:tcPr>
          <w:p w14:paraId="61B2B4A7" w14:textId="77777777" w:rsidR="00954269" w:rsidRPr="00954269" w:rsidRDefault="0095426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954269">
              <w:t>4.02</w:t>
            </w:r>
          </w:p>
        </w:tc>
        <w:tc>
          <w:tcPr>
            <w:tcW w:w="3171" w:type="dxa"/>
            <w:hideMark/>
          </w:tcPr>
          <w:p w14:paraId="1FC94F39" w14:textId="77777777" w:rsidR="00954269" w:rsidRPr="00954269" w:rsidRDefault="0095426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954269">
              <w:t>75.10%</w:t>
            </w:r>
          </w:p>
        </w:tc>
      </w:tr>
      <w:tr w:rsidR="00954269" w:rsidRPr="00954269" w14:paraId="1C7B38FB" w14:textId="77777777" w:rsidTr="00A34164">
        <w:trPr>
          <w:trHeight w:val="475"/>
        </w:trPr>
        <w:tc>
          <w:tcPr>
            <w:cnfStyle w:val="001000000000" w:firstRow="0" w:lastRow="0" w:firstColumn="1" w:lastColumn="0" w:oddVBand="0" w:evenVBand="0" w:oddHBand="0" w:evenHBand="0" w:firstRowFirstColumn="0" w:firstRowLastColumn="0" w:lastRowFirstColumn="0" w:lastRowLastColumn="0"/>
            <w:tcW w:w="2735" w:type="dxa"/>
            <w:hideMark/>
          </w:tcPr>
          <w:p w14:paraId="22C27750" w14:textId="6602A8F1" w:rsidR="00954269" w:rsidRPr="00954269" w:rsidRDefault="00954269" w:rsidP="00620BBC">
            <w:pPr>
              <w:spacing w:after="120" w:line="240" w:lineRule="auto"/>
            </w:pPr>
            <w:r w:rsidRPr="00954269">
              <w:t xml:space="preserve">80–90 </w:t>
            </w:r>
          </w:p>
        </w:tc>
        <w:tc>
          <w:tcPr>
            <w:tcW w:w="2883" w:type="dxa"/>
            <w:hideMark/>
          </w:tcPr>
          <w:p w14:paraId="1967EF23" w14:textId="77777777" w:rsidR="00954269" w:rsidRPr="00954269" w:rsidRDefault="00954269"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954269">
              <w:t>3.96</w:t>
            </w:r>
          </w:p>
        </w:tc>
        <w:tc>
          <w:tcPr>
            <w:tcW w:w="3171" w:type="dxa"/>
            <w:hideMark/>
          </w:tcPr>
          <w:p w14:paraId="434DD899" w14:textId="77777777" w:rsidR="00954269" w:rsidRPr="00954269" w:rsidRDefault="00954269"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954269">
              <w:t>76.00%</w:t>
            </w:r>
          </w:p>
        </w:tc>
      </w:tr>
      <w:tr w:rsidR="00954269" w:rsidRPr="00954269" w14:paraId="00EF3024" w14:textId="77777777" w:rsidTr="00A3416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735" w:type="dxa"/>
            <w:hideMark/>
          </w:tcPr>
          <w:p w14:paraId="3E45AF07" w14:textId="0F180D2E" w:rsidR="00954269" w:rsidRPr="00954269" w:rsidRDefault="00954269" w:rsidP="00620BBC">
            <w:pPr>
              <w:spacing w:after="120" w:line="240" w:lineRule="auto"/>
            </w:pPr>
            <w:r w:rsidRPr="00954269">
              <w:t xml:space="preserve">90+ </w:t>
            </w:r>
          </w:p>
        </w:tc>
        <w:tc>
          <w:tcPr>
            <w:tcW w:w="2883" w:type="dxa"/>
            <w:hideMark/>
          </w:tcPr>
          <w:p w14:paraId="12588214" w14:textId="77777777" w:rsidR="00954269" w:rsidRPr="00954269" w:rsidRDefault="0095426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954269">
              <w:t>4.00</w:t>
            </w:r>
          </w:p>
        </w:tc>
        <w:tc>
          <w:tcPr>
            <w:tcW w:w="3171" w:type="dxa"/>
            <w:hideMark/>
          </w:tcPr>
          <w:p w14:paraId="6882E745" w14:textId="77777777" w:rsidR="00954269" w:rsidRPr="00954269" w:rsidRDefault="00954269"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954269">
              <w:t>75.22%</w:t>
            </w:r>
          </w:p>
        </w:tc>
      </w:tr>
    </w:tbl>
    <w:p w14:paraId="3BBF7273" w14:textId="77777777" w:rsidR="00576514" w:rsidRDefault="00576514" w:rsidP="00620BBC">
      <w:pPr>
        <w:spacing w:after="120" w:line="240" w:lineRule="auto"/>
      </w:pPr>
    </w:p>
    <w:p w14:paraId="0665C79B" w14:textId="1C6BB071" w:rsidR="00DB6A6B" w:rsidRDefault="00DB6A6B" w:rsidP="00620BBC">
      <w:pPr>
        <w:spacing w:after="120" w:line="240" w:lineRule="auto"/>
      </w:pPr>
    </w:p>
    <w:p w14:paraId="5195DD99" w14:textId="77777777" w:rsidR="00533D6B" w:rsidRPr="00ED3B7E" w:rsidRDefault="00533D6B" w:rsidP="00620BBC">
      <w:pPr>
        <w:spacing w:after="120" w:line="240" w:lineRule="auto"/>
        <w:rPr>
          <w:lang w:val="en-US"/>
        </w:rPr>
      </w:pPr>
    </w:p>
    <w:p w14:paraId="43323BF6" w14:textId="53D950F1" w:rsidR="005F2C6E" w:rsidRDefault="005F2C6E" w:rsidP="00620BBC">
      <w:pPr>
        <w:spacing w:after="120" w:line="240" w:lineRule="auto"/>
      </w:pPr>
    </w:p>
    <w:p w14:paraId="26A94A8B" w14:textId="77777777" w:rsidR="00D47699" w:rsidRDefault="00033AF4" w:rsidP="00620BBC">
      <w:pPr>
        <w:spacing w:after="120" w:line="240" w:lineRule="auto"/>
      </w:pPr>
      <w:r>
        <w:rPr>
          <w:noProof/>
        </w:rPr>
        <w:lastRenderedPageBreak/>
        <w:drawing>
          <wp:inline distT="0" distB="0" distL="0" distR="0" wp14:anchorId="57183442" wp14:editId="14708F9B">
            <wp:extent cx="5607934" cy="4597898"/>
            <wp:effectExtent l="0" t="0" r="12065" b="12700"/>
            <wp:docPr id="632554427" name="Chart 1">
              <a:extLst xmlns:a="http://schemas.openxmlformats.org/drawingml/2006/main">
                <a:ext uri="{FF2B5EF4-FFF2-40B4-BE49-F238E27FC236}">
                  <a16:creationId xmlns:a16="http://schemas.microsoft.com/office/drawing/2014/main" id="{C53F2BEC-FF68-2BB6-122A-93059824DB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t xml:space="preserve"> </w:t>
      </w:r>
    </w:p>
    <w:p w14:paraId="3A2DA53E" w14:textId="77777777" w:rsidR="00D93D14" w:rsidRDefault="00D93D14" w:rsidP="00620BBC">
      <w:pPr>
        <w:spacing w:after="120" w:line="240" w:lineRule="auto"/>
      </w:pPr>
      <w:r w:rsidRPr="00D93D14">
        <w:t>The chart illustrates the average user ratings and completion rates across different course duration categories, providing insights into how course length may influence learner satisfaction and engagement. Based on a 5-point rating scale and completion percentage, the data is segmented into 10-hour duration intervals ranging from 10–20 hours to 90+ hours.</w:t>
      </w:r>
    </w:p>
    <w:p w14:paraId="0429155E" w14:textId="77777777" w:rsidR="00D93D14" w:rsidRDefault="00D93D14" w:rsidP="00620BBC">
      <w:pPr>
        <w:spacing w:after="120" w:line="240" w:lineRule="auto"/>
      </w:pPr>
      <w:r w:rsidRPr="00D93D14">
        <w:t>Courses within the 70–</w:t>
      </w:r>
      <w:proofErr w:type="gramStart"/>
      <w:r w:rsidRPr="00D93D14">
        <w:t>80 hour</w:t>
      </w:r>
      <w:proofErr w:type="gramEnd"/>
      <w:r w:rsidRPr="00D93D14">
        <w:t xml:space="preserve"> range stand out with the highest average rating of approximately 4.02, suggesting that learners in this duration group found the course quality particularly high. This is followed closely by the 10–20 hour and 40–</w:t>
      </w:r>
      <w:proofErr w:type="gramStart"/>
      <w:r w:rsidRPr="00D93D14">
        <w:t>50 hour</w:t>
      </w:r>
      <w:proofErr w:type="gramEnd"/>
      <w:r w:rsidRPr="00D93D14">
        <w:t xml:space="preserve"> groups, both with ratings just above 4.00, reflecting consistently strong learner satisfaction in these timeframes.</w:t>
      </w:r>
    </w:p>
    <w:p w14:paraId="37256275" w14:textId="77777777" w:rsidR="00D93D14" w:rsidRDefault="00D93D14" w:rsidP="00620BBC">
      <w:pPr>
        <w:spacing w:after="120" w:line="240" w:lineRule="auto"/>
      </w:pPr>
      <w:r w:rsidRPr="00D93D14">
        <w:t>In contrast, courses in the 80–</w:t>
      </w:r>
      <w:proofErr w:type="gramStart"/>
      <w:r w:rsidRPr="00D93D14">
        <w:t>90 hour</w:t>
      </w:r>
      <w:proofErr w:type="gramEnd"/>
      <w:r w:rsidRPr="00D93D14">
        <w:t xml:space="preserve"> range exhibit the lowest average rating, at approximately 3.96, which may indicate diminishing perceived value or engagement in longer course formats. However, this same category shows the highest average completion rate of 76%, suggesting that although learners may rate the experience slightly lower, they are highly likely to finish these courses—possibly due to their structure, content depth, or learner commitment.</w:t>
      </w:r>
    </w:p>
    <w:p w14:paraId="303EFBE5" w14:textId="77777777" w:rsidR="00D93D14" w:rsidRPr="00D93D14" w:rsidRDefault="00D93D14" w:rsidP="00620BBC">
      <w:pPr>
        <w:spacing w:after="120" w:line="240" w:lineRule="auto"/>
      </w:pPr>
      <w:r w:rsidRPr="00D93D14">
        <w:t>Across all duration bands, completion rates remain relatively stable, hovering between 74.5% and 76%, with shorter courses (20–40 hours) maintaining solid completion performance. The lowest completion rate is seen in the 60–</w:t>
      </w:r>
      <w:proofErr w:type="gramStart"/>
      <w:r w:rsidRPr="00D93D14">
        <w:t>70 hour</w:t>
      </w:r>
      <w:proofErr w:type="gramEnd"/>
      <w:r w:rsidRPr="00D93D14">
        <w:t xml:space="preserve"> range at 74.58%, indicating a possible engagement drop in mid-length courses.</w:t>
      </w:r>
    </w:p>
    <w:p w14:paraId="29F2EF03" w14:textId="0F91E614" w:rsidR="009F7160" w:rsidRDefault="00D93D14" w:rsidP="00620BBC">
      <w:pPr>
        <w:spacing w:after="120" w:line="240" w:lineRule="auto"/>
      </w:pPr>
      <w:r w:rsidRPr="00D93D14">
        <w:t xml:space="preserve">Overall, the chart reveals that course length alone does not dramatically impact ratings or completion, but certain patterns </w:t>
      </w:r>
      <w:proofErr w:type="gramStart"/>
      <w:r w:rsidRPr="00D93D14">
        <w:t>emerge:</w:t>
      </w:r>
      <w:proofErr w:type="gramEnd"/>
      <w:r w:rsidRPr="00D93D14">
        <w:t xml:space="preserve"> very short and very long courses tend to drive higher completion, while learner satisfaction remains high across all durations with minor variability. These insights suggest that course design and learner motivation may play a more significant role than duration alone in determining course success.</w:t>
      </w:r>
    </w:p>
    <w:p w14:paraId="363A137E" w14:textId="3E1C7655" w:rsidR="00C603A1" w:rsidRPr="0043112B" w:rsidRDefault="00C42E78" w:rsidP="00620BBC">
      <w:pPr>
        <w:spacing w:after="120" w:line="240" w:lineRule="auto"/>
        <w:rPr>
          <w:b/>
          <w:bCs/>
        </w:rPr>
      </w:pPr>
      <w:r>
        <w:rPr>
          <w:b/>
          <w:bCs/>
        </w:rPr>
        <w:lastRenderedPageBreak/>
        <w:t xml:space="preserve">Table: </w:t>
      </w:r>
      <w:r w:rsidR="009F7160">
        <w:rPr>
          <w:b/>
          <w:bCs/>
        </w:rPr>
        <w:t>P</w:t>
      </w:r>
      <w:r w:rsidR="008C38A5" w:rsidRPr="0043112B">
        <w:rPr>
          <w:b/>
          <w:bCs/>
        </w:rPr>
        <w:t>latform performance across key metrics</w:t>
      </w:r>
    </w:p>
    <w:tbl>
      <w:tblPr>
        <w:tblStyle w:val="GridTable4-Accent1"/>
        <w:tblW w:w="0" w:type="auto"/>
        <w:tblLook w:val="04A0" w:firstRow="1" w:lastRow="0" w:firstColumn="1" w:lastColumn="0" w:noHBand="0" w:noVBand="1"/>
      </w:tblPr>
      <w:tblGrid>
        <w:gridCol w:w="1762"/>
        <w:gridCol w:w="2233"/>
        <w:gridCol w:w="2328"/>
        <w:gridCol w:w="2693"/>
      </w:tblGrid>
      <w:tr w:rsidR="00D90407" w:rsidRPr="003811B9" w14:paraId="4732BCF3" w14:textId="20638599" w:rsidTr="00962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27070D" w14:textId="77777777" w:rsidR="00D90407" w:rsidRPr="003811B9" w:rsidRDefault="00D90407" w:rsidP="00620BBC">
            <w:pPr>
              <w:spacing w:after="120" w:line="240" w:lineRule="auto"/>
            </w:pPr>
            <w:r w:rsidRPr="003811B9">
              <w:t>Platform</w:t>
            </w:r>
          </w:p>
        </w:tc>
        <w:tc>
          <w:tcPr>
            <w:tcW w:w="0" w:type="auto"/>
            <w:hideMark/>
          </w:tcPr>
          <w:p w14:paraId="50D14C91" w14:textId="05A38D86" w:rsidR="00D90407" w:rsidRPr="003811B9" w:rsidRDefault="00D90407"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3811B9">
              <w:t xml:space="preserve">Total </w:t>
            </w:r>
            <w:r>
              <w:t>e</w:t>
            </w:r>
            <w:r w:rsidRPr="003811B9">
              <w:t xml:space="preserve">nrolled </w:t>
            </w:r>
            <w:r>
              <w:t>s</w:t>
            </w:r>
            <w:r w:rsidRPr="003811B9">
              <w:t>tudents</w:t>
            </w:r>
          </w:p>
        </w:tc>
        <w:tc>
          <w:tcPr>
            <w:tcW w:w="0" w:type="auto"/>
          </w:tcPr>
          <w:p w14:paraId="204B37CF" w14:textId="52A07F42" w:rsidR="00D90407" w:rsidRPr="003811B9" w:rsidRDefault="00D90407" w:rsidP="00620BBC">
            <w:pPr>
              <w:spacing w:after="120" w:line="240" w:lineRule="auto"/>
              <w:cnfStyle w:val="100000000000" w:firstRow="1" w:lastRow="0" w:firstColumn="0" w:lastColumn="0" w:oddVBand="0" w:evenVBand="0" w:oddHBand="0" w:evenHBand="0" w:firstRowFirstColumn="0" w:firstRowLastColumn="0" w:lastRowFirstColumn="0" w:lastRowLastColumn="0"/>
              <w:rPr>
                <w:b w:val="0"/>
                <w:bCs w:val="0"/>
              </w:rPr>
            </w:pPr>
            <w:r w:rsidRPr="003811B9">
              <w:t xml:space="preserve">Average </w:t>
            </w:r>
            <w:r>
              <w:t>r</w:t>
            </w:r>
            <w:r w:rsidRPr="003811B9">
              <w:t>ating (out of 5)</w:t>
            </w:r>
          </w:p>
        </w:tc>
        <w:tc>
          <w:tcPr>
            <w:tcW w:w="0" w:type="auto"/>
            <w:hideMark/>
          </w:tcPr>
          <w:p w14:paraId="087337DD" w14:textId="6F4904C4" w:rsidR="00D90407" w:rsidRPr="003811B9" w:rsidRDefault="00D90407" w:rsidP="00620BBC">
            <w:pPr>
              <w:spacing w:after="120" w:line="240" w:lineRule="auto"/>
              <w:cnfStyle w:val="100000000000" w:firstRow="1" w:lastRow="0" w:firstColumn="0" w:lastColumn="0" w:oddVBand="0" w:evenVBand="0" w:oddHBand="0" w:evenHBand="0" w:firstRowFirstColumn="0" w:firstRowLastColumn="0" w:lastRowFirstColumn="0" w:lastRowLastColumn="0"/>
            </w:pPr>
            <w:r w:rsidRPr="003811B9">
              <w:t xml:space="preserve">Average </w:t>
            </w:r>
            <w:r>
              <w:t>c</w:t>
            </w:r>
            <w:r w:rsidRPr="003811B9">
              <w:t xml:space="preserve">ompletion </w:t>
            </w:r>
            <w:r>
              <w:t>r</w:t>
            </w:r>
            <w:r w:rsidRPr="003811B9">
              <w:t>ate (%)</w:t>
            </w:r>
          </w:p>
        </w:tc>
      </w:tr>
      <w:tr w:rsidR="00D90407" w:rsidRPr="003811B9" w14:paraId="1AC1203B" w14:textId="57118E5A" w:rsidTr="00962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87A1CE" w14:textId="77777777" w:rsidR="00D90407" w:rsidRPr="003811B9" w:rsidRDefault="00D90407" w:rsidP="00620BBC">
            <w:pPr>
              <w:spacing w:after="120" w:line="240" w:lineRule="auto"/>
            </w:pPr>
            <w:r w:rsidRPr="003811B9">
              <w:t>edX</w:t>
            </w:r>
          </w:p>
        </w:tc>
        <w:tc>
          <w:tcPr>
            <w:tcW w:w="0" w:type="auto"/>
            <w:hideMark/>
          </w:tcPr>
          <w:p w14:paraId="1AF678A1" w14:textId="77777777" w:rsidR="00D90407" w:rsidRPr="003811B9" w:rsidRDefault="00D9040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3811B9">
              <w:t>6,232,148</w:t>
            </w:r>
          </w:p>
        </w:tc>
        <w:tc>
          <w:tcPr>
            <w:tcW w:w="0" w:type="auto"/>
          </w:tcPr>
          <w:p w14:paraId="2B1755F1" w14:textId="723EE11D" w:rsidR="00D90407" w:rsidRPr="003811B9" w:rsidRDefault="00D9040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3811B9">
              <w:t>4.0032</w:t>
            </w:r>
          </w:p>
        </w:tc>
        <w:tc>
          <w:tcPr>
            <w:tcW w:w="0" w:type="auto"/>
            <w:hideMark/>
          </w:tcPr>
          <w:p w14:paraId="7C7E77A6" w14:textId="5318A206" w:rsidR="00D90407" w:rsidRPr="003811B9" w:rsidRDefault="00D9040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3811B9">
              <w:t>75.34%</w:t>
            </w:r>
          </w:p>
        </w:tc>
      </w:tr>
      <w:tr w:rsidR="00D90407" w:rsidRPr="003811B9" w14:paraId="61AADDFB" w14:textId="28811A42" w:rsidTr="00962F54">
        <w:tc>
          <w:tcPr>
            <w:cnfStyle w:val="001000000000" w:firstRow="0" w:lastRow="0" w:firstColumn="1" w:lastColumn="0" w:oddVBand="0" w:evenVBand="0" w:oddHBand="0" w:evenHBand="0" w:firstRowFirstColumn="0" w:firstRowLastColumn="0" w:lastRowFirstColumn="0" w:lastRowLastColumn="0"/>
            <w:tcW w:w="0" w:type="auto"/>
            <w:hideMark/>
          </w:tcPr>
          <w:p w14:paraId="7DFE33E6" w14:textId="77777777" w:rsidR="00D90407" w:rsidRPr="003811B9" w:rsidRDefault="00D90407" w:rsidP="00620BBC">
            <w:pPr>
              <w:spacing w:after="120" w:line="240" w:lineRule="auto"/>
            </w:pPr>
            <w:r w:rsidRPr="003811B9">
              <w:t>Udemy</w:t>
            </w:r>
          </w:p>
        </w:tc>
        <w:tc>
          <w:tcPr>
            <w:tcW w:w="0" w:type="auto"/>
            <w:hideMark/>
          </w:tcPr>
          <w:p w14:paraId="29EAE5D9" w14:textId="77777777" w:rsidR="00D90407" w:rsidRPr="003811B9" w:rsidRDefault="00D9040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3811B9">
              <w:t>6,538,277</w:t>
            </w:r>
          </w:p>
        </w:tc>
        <w:tc>
          <w:tcPr>
            <w:tcW w:w="0" w:type="auto"/>
          </w:tcPr>
          <w:p w14:paraId="3FDF9B36" w14:textId="714F0314" w:rsidR="00D90407" w:rsidRPr="003811B9" w:rsidRDefault="00D9040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3811B9">
              <w:t>4.0006</w:t>
            </w:r>
          </w:p>
        </w:tc>
        <w:tc>
          <w:tcPr>
            <w:tcW w:w="0" w:type="auto"/>
            <w:hideMark/>
          </w:tcPr>
          <w:p w14:paraId="3380723A" w14:textId="3438A6CE" w:rsidR="00D90407" w:rsidRPr="003811B9" w:rsidRDefault="00D9040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3811B9">
              <w:t>75.10%</w:t>
            </w:r>
          </w:p>
        </w:tc>
      </w:tr>
      <w:tr w:rsidR="00D90407" w:rsidRPr="003811B9" w14:paraId="57E43D3B" w14:textId="6FE78737" w:rsidTr="00962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12C7E3" w14:textId="77777777" w:rsidR="00D90407" w:rsidRPr="003811B9" w:rsidRDefault="00D90407" w:rsidP="00620BBC">
            <w:pPr>
              <w:spacing w:after="120" w:line="240" w:lineRule="auto"/>
            </w:pPr>
            <w:r w:rsidRPr="003811B9">
              <w:t>Coursera</w:t>
            </w:r>
          </w:p>
        </w:tc>
        <w:tc>
          <w:tcPr>
            <w:tcW w:w="0" w:type="auto"/>
            <w:hideMark/>
          </w:tcPr>
          <w:p w14:paraId="24AD2E2E" w14:textId="77777777" w:rsidR="00D90407" w:rsidRPr="003811B9" w:rsidRDefault="00D9040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3811B9">
              <w:t>6,212,505</w:t>
            </w:r>
          </w:p>
        </w:tc>
        <w:tc>
          <w:tcPr>
            <w:tcW w:w="0" w:type="auto"/>
          </w:tcPr>
          <w:p w14:paraId="499164EB" w14:textId="7F3605AE" w:rsidR="00D90407" w:rsidRPr="003811B9" w:rsidRDefault="00D9040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3811B9">
              <w:t>4.0003</w:t>
            </w:r>
          </w:p>
        </w:tc>
        <w:tc>
          <w:tcPr>
            <w:tcW w:w="0" w:type="auto"/>
            <w:hideMark/>
          </w:tcPr>
          <w:p w14:paraId="22D170E1" w14:textId="319B0830" w:rsidR="00D90407" w:rsidRPr="003811B9" w:rsidRDefault="00D90407" w:rsidP="00620BBC">
            <w:pPr>
              <w:spacing w:after="120" w:line="240" w:lineRule="auto"/>
              <w:cnfStyle w:val="000000100000" w:firstRow="0" w:lastRow="0" w:firstColumn="0" w:lastColumn="0" w:oddVBand="0" w:evenVBand="0" w:oddHBand="1" w:evenHBand="0" w:firstRowFirstColumn="0" w:firstRowLastColumn="0" w:lastRowFirstColumn="0" w:lastRowLastColumn="0"/>
            </w:pPr>
            <w:r w:rsidRPr="003811B9">
              <w:t>74.96%</w:t>
            </w:r>
          </w:p>
        </w:tc>
      </w:tr>
      <w:tr w:rsidR="00D90407" w:rsidRPr="003811B9" w14:paraId="1B423273" w14:textId="5F17CE94" w:rsidTr="00962F54">
        <w:tc>
          <w:tcPr>
            <w:cnfStyle w:val="001000000000" w:firstRow="0" w:lastRow="0" w:firstColumn="1" w:lastColumn="0" w:oddVBand="0" w:evenVBand="0" w:oddHBand="0" w:evenHBand="0" w:firstRowFirstColumn="0" w:firstRowLastColumn="0" w:lastRowFirstColumn="0" w:lastRowLastColumn="0"/>
            <w:tcW w:w="0" w:type="auto"/>
            <w:hideMark/>
          </w:tcPr>
          <w:p w14:paraId="6A0DE3F0" w14:textId="77777777" w:rsidR="00D90407" w:rsidRPr="003811B9" w:rsidRDefault="00D90407" w:rsidP="00620BBC">
            <w:pPr>
              <w:spacing w:after="120" w:line="240" w:lineRule="auto"/>
            </w:pPr>
            <w:r w:rsidRPr="003811B9">
              <w:t>LinkedIn Learning</w:t>
            </w:r>
          </w:p>
        </w:tc>
        <w:tc>
          <w:tcPr>
            <w:tcW w:w="0" w:type="auto"/>
            <w:hideMark/>
          </w:tcPr>
          <w:p w14:paraId="1E8FF7BC" w14:textId="77777777" w:rsidR="00D90407" w:rsidRPr="003811B9" w:rsidRDefault="00D9040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3811B9">
              <w:t>6,323,600</w:t>
            </w:r>
          </w:p>
        </w:tc>
        <w:tc>
          <w:tcPr>
            <w:tcW w:w="0" w:type="auto"/>
          </w:tcPr>
          <w:p w14:paraId="6790D978" w14:textId="5684E84F" w:rsidR="00D90407" w:rsidRPr="003811B9" w:rsidRDefault="00D9040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3811B9">
              <w:t>3.9726</w:t>
            </w:r>
          </w:p>
        </w:tc>
        <w:tc>
          <w:tcPr>
            <w:tcW w:w="0" w:type="auto"/>
            <w:hideMark/>
          </w:tcPr>
          <w:p w14:paraId="141F9921" w14:textId="55023184" w:rsidR="00D90407" w:rsidRPr="003811B9" w:rsidRDefault="00D90407" w:rsidP="00620BBC">
            <w:pPr>
              <w:spacing w:after="120" w:line="240" w:lineRule="auto"/>
              <w:cnfStyle w:val="000000000000" w:firstRow="0" w:lastRow="0" w:firstColumn="0" w:lastColumn="0" w:oddVBand="0" w:evenVBand="0" w:oddHBand="0" w:evenHBand="0" w:firstRowFirstColumn="0" w:firstRowLastColumn="0" w:lastRowFirstColumn="0" w:lastRowLastColumn="0"/>
            </w:pPr>
            <w:r w:rsidRPr="003811B9">
              <w:t>75.08%</w:t>
            </w:r>
          </w:p>
        </w:tc>
      </w:tr>
    </w:tbl>
    <w:p w14:paraId="3E5C9E0B" w14:textId="77777777" w:rsidR="009C7C48" w:rsidRDefault="009C7C48" w:rsidP="00620BBC">
      <w:pPr>
        <w:spacing w:after="120" w:line="240" w:lineRule="auto"/>
      </w:pPr>
    </w:p>
    <w:p w14:paraId="668109A4" w14:textId="77777777" w:rsidR="00D206FC" w:rsidRDefault="006065DF" w:rsidP="00620BBC">
      <w:pPr>
        <w:spacing w:after="120" w:line="240" w:lineRule="auto"/>
      </w:pPr>
      <w:r w:rsidRPr="00D206FC">
        <w:t xml:space="preserve">The table compares four major online learning platforms—Coursera, edX, LinkedIn Learning, and Udemy—across three key metrics: average rating, total enrolment, and completion rate. </w:t>
      </w:r>
      <w:r w:rsidR="00D206FC" w:rsidRPr="00D206FC">
        <w:t xml:space="preserve">A visual representation of this data is provided in the chart titled "Platform performance: Enrolment, Rating &amp; Completion Rate" (see Figure below). </w:t>
      </w:r>
    </w:p>
    <w:p w14:paraId="4EEB2AC9" w14:textId="7F5BBAF5" w:rsidR="006065DF" w:rsidRPr="005D7EA1" w:rsidRDefault="006065DF" w:rsidP="00620BBC">
      <w:pPr>
        <w:spacing w:after="120" w:line="240" w:lineRule="auto"/>
      </w:pPr>
      <w:r w:rsidRPr="005D7EA1">
        <w:t xml:space="preserve">All platforms show high learner satisfaction, with average ratings clustered around 4.00. edX leads slightly at 4.0032, followed closely by Udemy and Coursera, while LinkedIn Learning trails slightly at 3.9726, yet still reflects positive user </w:t>
      </w:r>
      <w:r w:rsidR="0009022E">
        <w:t>feedback.</w:t>
      </w:r>
    </w:p>
    <w:p w14:paraId="2AA8D6F0" w14:textId="77777777" w:rsidR="005D7EA1" w:rsidRPr="005D7EA1" w:rsidRDefault="006065DF" w:rsidP="00620BBC">
      <w:pPr>
        <w:spacing w:after="120" w:line="240" w:lineRule="auto"/>
      </w:pPr>
      <w:r w:rsidRPr="005D7EA1">
        <w:t xml:space="preserve">Enrolment figures are strong across the board, each exceeding 6 million learners. Udemy ranks highest with over 6.5 million enrolments, followed by LinkedIn Learning and edX, while Coursera records a slightly lower but still substantial total. </w:t>
      </w:r>
    </w:p>
    <w:p w14:paraId="04D76556" w14:textId="77777777" w:rsidR="005D7EA1" w:rsidRPr="005D7EA1" w:rsidRDefault="006065DF" w:rsidP="00620BBC">
      <w:pPr>
        <w:spacing w:after="120" w:line="240" w:lineRule="auto"/>
      </w:pPr>
      <w:r w:rsidRPr="005D7EA1">
        <w:t xml:space="preserve">In terms of completion, edX again leads with an average rate of 75.34%, with Udemy and LinkedIn Learning close behind. Coursera follows at 74.96%, with only a marginal difference. </w:t>
      </w:r>
    </w:p>
    <w:p w14:paraId="51991323" w14:textId="77777777" w:rsidR="001D440B" w:rsidRDefault="006065DF" w:rsidP="00620BBC">
      <w:pPr>
        <w:spacing w:after="120" w:line="240" w:lineRule="auto"/>
      </w:pPr>
      <w:r w:rsidRPr="005D7EA1">
        <w:t>Overall, edX shows the most balanced performance, combining strong ratings, high completion, and competitive reach. Udemy excels in scale, while Coursera maintains consistent satisfaction and engagement. LinkedIn Learning, despite lower ratings, remains a solid performer in enrolment and completion.</w:t>
      </w:r>
    </w:p>
    <w:p w14:paraId="7E2AC477" w14:textId="77777777" w:rsidR="001D2BC7" w:rsidRDefault="001D440B" w:rsidP="00620BBC">
      <w:pPr>
        <w:spacing w:after="120" w:line="240" w:lineRule="auto"/>
      </w:pPr>
      <w:r>
        <w:rPr>
          <w:noProof/>
        </w:rPr>
        <w:lastRenderedPageBreak/>
        <w:drawing>
          <wp:inline distT="0" distB="0" distL="0" distR="0" wp14:anchorId="5DBAF59D" wp14:editId="6031732A">
            <wp:extent cx="5731510" cy="3895090"/>
            <wp:effectExtent l="0" t="0" r="2540" b="10160"/>
            <wp:docPr id="567806883" name="Chart 1">
              <a:extLst xmlns:a="http://schemas.openxmlformats.org/drawingml/2006/main">
                <a:ext uri="{FF2B5EF4-FFF2-40B4-BE49-F238E27FC236}">
                  <a16:creationId xmlns:a16="http://schemas.microsoft.com/office/drawing/2014/main" id="{0435B26F-1EF6-51EE-70C1-8BF873FD3A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D40824" w14:textId="77777777" w:rsidR="0058566C" w:rsidRPr="0058566C" w:rsidRDefault="0058566C" w:rsidP="00620BBC">
      <w:pPr>
        <w:spacing w:after="120" w:line="240" w:lineRule="auto"/>
      </w:pPr>
      <w:r w:rsidRPr="0058566C">
        <w:t xml:space="preserve">Based on the analysis, edX demonstrates the most balanced performance across all three key metrics. It has the highest average user rating of 4.0032, indicating strong learner satisfaction, </w:t>
      </w:r>
      <w:proofErr w:type="gramStart"/>
      <w:r w:rsidRPr="0058566C">
        <w:t>and also</w:t>
      </w:r>
      <w:proofErr w:type="gramEnd"/>
      <w:r w:rsidRPr="0058566C">
        <w:t xml:space="preserve"> leads in average completion rate at 75.34%, suggesting high learner engagement. Although its total enrolment is slightly lower than Udemy’s, it remains highly competitive at over 6.2 million students.</w:t>
      </w:r>
    </w:p>
    <w:p w14:paraId="3049092C" w14:textId="77777777" w:rsidR="0058566C" w:rsidRPr="0058566C" w:rsidRDefault="0058566C" w:rsidP="00620BBC">
      <w:pPr>
        <w:spacing w:after="120" w:line="240" w:lineRule="auto"/>
      </w:pPr>
      <w:r w:rsidRPr="0058566C">
        <w:t>Udemy stands out with the highest total enrolment—over 6.5 million learners—reflecting its broad reach and popularity. It maintains a solid average rating of 4.0006 and a high completion rate of 75.10%, making it a strong performer overall.</w:t>
      </w:r>
    </w:p>
    <w:p w14:paraId="7CF1AA62" w14:textId="77777777" w:rsidR="0058566C" w:rsidRPr="0058566C" w:rsidRDefault="0058566C" w:rsidP="00620BBC">
      <w:pPr>
        <w:spacing w:after="120" w:line="240" w:lineRule="auto"/>
      </w:pPr>
      <w:r w:rsidRPr="0058566C">
        <w:t>Coursera offers consistent results across all metrics, with an average rating of 4.0003, enrolment above 6.2 million, and a completion rate of 74.96%.</w:t>
      </w:r>
    </w:p>
    <w:p w14:paraId="5E2263CA" w14:textId="77777777" w:rsidR="0058566C" w:rsidRPr="0058566C" w:rsidRDefault="0058566C" w:rsidP="00620BBC">
      <w:pPr>
        <w:spacing w:after="120" w:line="240" w:lineRule="auto"/>
      </w:pPr>
      <w:r w:rsidRPr="0058566C">
        <w:t>LinkedIn Learning, while slightly lower in average rating (3.9726), achieves a completion rate of 75.08% and total enrolment exceeding 6.3 million, demonstrating solid performance despite minor differences in perceived quality.</w:t>
      </w:r>
    </w:p>
    <w:p w14:paraId="685B35B1" w14:textId="1EA8522B" w:rsidR="00773FE2" w:rsidRDefault="0058566C" w:rsidP="00620BBC">
      <w:pPr>
        <w:spacing w:after="120" w:line="240" w:lineRule="auto"/>
      </w:pPr>
      <w:r w:rsidRPr="0058566C">
        <w:t>In summary, edX is the top performer in terms of quality and engagement, while Udemy leads in reach. Coursera and LinkedIn Learning remain strong contenders with consistent, high-performing course offerings.</w:t>
      </w:r>
    </w:p>
    <w:p w14:paraId="3A64FD69" w14:textId="77777777" w:rsidR="00773FE2" w:rsidRDefault="00773FE2" w:rsidP="00620BBC">
      <w:pPr>
        <w:spacing w:after="120" w:line="240" w:lineRule="auto"/>
      </w:pPr>
      <w:r>
        <w:br w:type="page"/>
      </w:r>
    </w:p>
    <w:p w14:paraId="25B35602" w14:textId="77777777" w:rsidR="00FF6EA2" w:rsidRDefault="00FF6EA2" w:rsidP="00620BBC">
      <w:pPr>
        <w:spacing w:after="120" w:line="240" w:lineRule="auto"/>
        <w:rPr>
          <w:b/>
          <w:bCs/>
        </w:rPr>
      </w:pPr>
      <w:r w:rsidRPr="00F972B4">
        <w:rPr>
          <w:b/>
          <w:bCs/>
        </w:rPr>
        <w:lastRenderedPageBreak/>
        <w:t>Impact of course pricing on enrolment and ratings</w:t>
      </w:r>
    </w:p>
    <w:p w14:paraId="312AF1FB" w14:textId="0F936C6D" w:rsidR="00102F90" w:rsidRDefault="00A93B2B" w:rsidP="00620BBC">
      <w:pPr>
        <w:spacing w:after="120" w:line="240" w:lineRule="auto"/>
      </w:pPr>
      <w:r>
        <w:rPr>
          <w:noProof/>
        </w:rPr>
        <w:drawing>
          <wp:inline distT="0" distB="0" distL="0" distR="0" wp14:anchorId="47CC1AB8" wp14:editId="1523F78A">
            <wp:extent cx="5731510" cy="3658235"/>
            <wp:effectExtent l="0" t="0" r="2540" b="18415"/>
            <wp:docPr id="715888853" name="Chart 1">
              <a:extLst xmlns:a="http://schemas.openxmlformats.org/drawingml/2006/main">
                <a:ext uri="{FF2B5EF4-FFF2-40B4-BE49-F238E27FC236}">
                  <a16:creationId xmlns:a16="http://schemas.microsoft.com/office/drawing/2014/main" id="{08DF125B-511D-4FD2-E795-AE3A22E460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51E5A7" w14:textId="77777777" w:rsidR="00E926C4" w:rsidRDefault="00E926C4" w:rsidP="00620BBC">
      <w:pPr>
        <w:spacing w:after="120" w:line="240" w:lineRule="auto"/>
      </w:pPr>
      <w:r>
        <w:t>The chart shows that enrolment increases with course price, with the lowest price range ($0–50) attracting 5.2 million students and the highest ($151–200) reaching 6.9 million. This suggests higher-priced courses may be seen as more valuable, driving enrolment.</w:t>
      </w:r>
    </w:p>
    <w:p w14:paraId="26465F51" w14:textId="38F699EC" w:rsidR="00E926C4" w:rsidRDefault="00E926C4" w:rsidP="00620BBC">
      <w:pPr>
        <w:spacing w:after="120" w:line="240" w:lineRule="auto"/>
      </w:pPr>
      <w:r>
        <w:t>Learner satisfaction, measured by ratings, is highest in the $51–100 range (4.01/5). Ratings are slightly lower in the $0–50 and $101–150 ranges, though the variation is narrow across all price bands.</w:t>
      </w:r>
    </w:p>
    <w:p w14:paraId="1394D2E1" w14:textId="77777777" w:rsidR="00E926C4" w:rsidRDefault="00E926C4" w:rsidP="00620BBC">
      <w:pPr>
        <w:spacing w:after="120" w:line="240" w:lineRule="auto"/>
      </w:pPr>
      <w:r>
        <w:t>Overall, the $51–100 range offers the best balance of strong enrolment and high ratings, indicating that mid-priced courses may offer the optimal mix of affordability and quality.</w:t>
      </w:r>
    </w:p>
    <w:p w14:paraId="65C96EE6" w14:textId="56A9F6DD" w:rsidR="00141935" w:rsidRPr="00C267E4" w:rsidRDefault="00C42E78" w:rsidP="00620BBC">
      <w:pPr>
        <w:spacing w:after="120" w:line="240" w:lineRule="auto"/>
        <w:rPr>
          <w:b/>
          <w:bCs/>
        </w:rPr>
      </w:pPr>
      <w:r>
        <w:rPr>
          <w:b/>
          <w:bCs/>
        </w:rPr>
        <w:t xml:space="preserve">Table: </w:t>
      </w:r>
      <w:r w:rsidR="00C267E4" w:rsidRPr="00C267E4">
        <w:rPr>
          <w:b/>
          <w:bCs/>
        </w:rPr>
        <w:t>Course category performance: Enrolment and average rating</w:t>
      </w:r>
    </w:p>
    <w:tbl>
      <w:tblPr>
        <w:tblStyle w:val="GridTable4-Accent1"/>
        <w:tblW w:w="7560" w:type="dxa"/>
        <w:tblLook w:val="04A0" w:firstRow="1" w:lastRow="0" w:firstColumn="1" w:lastColumn="0" w:noHBand="0" w:noVBand="1"/>
      </w:tblPr>
      <w:tblGrid>
        <w:gridCol w:w="2260"/>
        <w:gridCol w:w="2600"/>
        <w:gridCol w:w="2700"/>
      </w:tblGrid>
      <w:tr w:rsidR="00141935" w:rsidRPr="00B743FB" w14:paraId="7497ADEB" w14:textId="77777777" w:rsidTr="007E669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7BB06104" w14:textId="77777777" w:rsidR="00141935" w:rsidRPr="00B743FB" w:rsidRDefault="00141935" w:rsidP="00620BBC">
            <w:pPr>
              <w:spacing w:after="120" w:line="240" w:lineRule="auto"/>
              <w:rPr>
                <w:rFonts w:ascii="Aptos Narrow" w:eastAsia="Times New Roman" w:hAnsi="Aptos Narrow"/>
                <w:color w:val="000000"/>
                <w:lang w:eastAsia="en-NZ"/>
              </w:rPr>
            </w:pPr>
            <w:r w:rsidRPr="00B743FB">
              <w:rPr>
                <w:rFonts w:ascii="Aptos Narrow" w:eastAsia="Times New Roman" w:hAnsi="Aptos Narrow"/>
                <w:color w:val="000000"/>
                <w:lang w:eastAsia="en-NZ"/>
              </w:rPr>
              <w:t>Course category</w:t>
            </w:r>
          </w:p>
        </w:tc>
        <w:tc>
          <w:tcPr>
            <w:tcW w:w="2600" w:type="dxa"/>
            <w:noWrap/>
            <w:hideMark/>
          </w:tcPr>
          <w:p w14:paraId="3886D322" w14:textId="77777777" w:rsidR="00141935" w:rsidRPr="00B743FB" w:rsidRDefault="00141935" w:rsidP="00620BBC">
            <w:pPr>
              <w:spacing w:after="120" w:line="240" w:lineRule="auto"/>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 xml:space="preserve">Sum of </w:t>
            </w:r>
            <w:r>
              <w:rPr>
                <w:rFonts w:ascii="Aptos Narrow" w:eastAsia="Times New Roman" w:hAnsi="Aptos Narrow"/>
                <w:color w:val="000000"/>
                <w:lang w:eastAsia="en-NZ"/>
              </w:rPr>
              <w:t>e</w:t>
            </w:r>
            <w:r w:rsidRPr="00B743FB">
              <w:rPr>
                <w:rFonts w:ascii="Aptos Narrow" w:eastAsia="Times New Roman" w:hAnsi="Aptos Narrow"/>
                <w:color w:val="000000"/>
                <w:lang w:eastAsia="en-NZ"/>
              </w:rPr>
              <w:t>nrolled</w:t>
            </w:r>
            <w:r>
              <w:rPr>
                <w:rFonts w:ascii="Aptos Narrow" w:eastAsia="Times New Roman" w:hAnsi="Aptos Narrow"/>
                <w:color w:val="000000"/>
                <w:lang w:eastAsia="en-NZ"/>
              </w:rPr>
              <w:t xml:space="preserve"> s</w:t>
            </w:r>
            <w:r w:rsidRPr="00B743FB">
              <w:rPr>
                <w:rFonts w:ascii="Aptos Narrow" w:eastAsia="Times New Roman" w:hAnsi="Aptos Narrow"/>
                <w:color w:val="000000"/>
                <w:lang w:eastAsia="en-NZ"/>
              </w:rPr>
              <w:t>tudents</w:t>
            </w:r>
          </w:p>
        </w:tc>
        <w:tc>
          <w:tcPr>
            <w:tcW w:w="2700" w:type="dxa"/>
            <w:noWrap/>
            <w:hideMark/>
          </w:tcPr>
          <w:p w14:paraId="275EA2C9" w14:textId="77777777" w:rsidR="00141935" w:rsidRPr="00B743FB" w:rsidRDefault="00141935" w:rsidP="00620BBC">
            <w:pPr>
              <w:spacing w:after="120" w:line="240" w:lineRule="auto"/>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 xml:space="preserve">Average of </w:t>
            </w:r>
            <w:r>
              <w:rPr>
                <w:rFonts w:ascii="Aptos Narrow" w:eastAsia="Times New Roman" w:hAnsi="Aptos Narrow"/>
                <w:color w:val="000000"/>
                <w:lang w:eastAsia="en-NZ"/>
              </w:rPr>
              <w:t>r</w:t>
            </w:r>
            <w:r w:rsidRPr="00B743FB">
              <w:rPr>
                <w:rFonts w:ascii="Aptos Narrow" w:eastAsia="Times New Roman" w:hAnsi="Aptos Narrow"/>
                <w:color w:val="000000"/>
                <w:lang w:eastAsia="en-NZ"/>
              </w:rPr>
              <w:t>ating (out of 5)</w:t>
            </w:r>
          </w:p>
        </w:tc>
      </w:tr>
      <w:tr w:rsidR="00141935" w:rsidRPr="00B743FB" w14:paraId="7A288127" w14:textId="77777777" w:rsidTr="007E66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79F7F359" w14:textId="77777777" w:rsidR="00141935" w:rsidRPr="00B743FB" w:rsidRDefault="00141935" w:rsidP="00620BBC">
            <w:pPr>
              <w:spacing w:after="120" w:line="240" w:lineRule="auto"/>
              <w:rPr>
                <w:rFonts w:ascii="Aptos Narrow" w:eastAsia="Times New Roman" w:hAnsi="Aptos Narrow"/>
                <w:color w:val="000000"/>
                <w:lang w:eastAsia="en-NZ"/>
              </w:rPr>
            </w:pPr>
            <w:r w:rsidRPr="00B743FB">
              <w:rPr>
                <w:rFonts w:ascii="Aptos Narrow" w:eastAsia="Times New Roman" w:hAnsi="Aptos Narrow"/>
                <w:color w:val="000000"/>
                <w:lang w:eastAsia="en-NZ"/>
              </w:rPr>
              <w:t>Marketing</w:t>
            </w:r>
          </w:p>
        </w:tc>
        <w:tc>
          <w:tcPr>
            <w:tcW w:w="2600" w:type="dxa"/>
            <w:noWrap/>
            <w:hideMark/>
          </w:tcPr>
          <w:p w14:paraId="383F9B96" w14:textId="77777777" w:rsidR="00141935" w:rsidRPr="00B743FB" w:rsidRDefault="00141935" w:rsidP="00620BBC">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2949738</w:t>
            </w:r>
          </w:p>
        </w:tc>
        <w:tc>
          <w:tcPr>
            <w:tcW w:w="2700" w:type="dxa"/>
            <w:noWrap/>
            <w:hideMark/>
          </w:tcPr>
          <w:p w14:paraId="7B40A5E0" w14:textId="77777777" w:rsidR="00141935" w:rsidRPr="00B743FB" w:rsidRDefault="00141935" w:rsidP="00620BBC">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4.014</w:t>
            </w:r>
          </w:p>
        </w:tc>
      </w:tr>
      <w:tr w:rsidR="00141935" w:rsidRPr="00B743FB" w14:paraId="14C9C348" w14:textId="77777777" w:rsidTr="007E6697">
        <w:trPr>
          <w:trHeight w:val="29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7EEF9BE4" w14:textId="77777777" w:rsidR="00141935" w:rsidRPr="00B743FB" w:rsidRDefault="00141935" w:rsidP="00620BBC">
            <w:pPr>
              <w:spacing w:after="120" w:line="240" w:lineRule="auto"/>
              <w:rPr>
                <w:rFonts w:ascii="Aptos Narrow" w:eastAsia="Times New Roman" w:hAnsi="Aptos Narrow"/>
                <w:color w:val="000000"/>
                <w:lang w:eastAsia="en-NZ"/>
              </w:rPr>
            </w:pPr>
            <w:r w:rsidRPr="00B743FB">
              <w:rPr>
                <w:rFonts w:ascii="Aptos Narrow" w:eastAsia="Times New Roman" w:hAnsi="Aptos Narrow"/>
                <w:color w:val="000000"/>
                <w:lang w:eastAsia="en-NZ"/>
              </w:rPr>
              <w:t>Finance</w:t>
            </w:r>
          </w:p>
        </w:tc>
        <w:tc>
          <w:tcPr>
            <w:tcW w:w="2600" w:type="dxa"/>
            <w:noWrap/>
            <w:hideMark/>
          </w:tcPr>
          <w:p w14:paraId="493C7B3B" w14:textId="77777777" w:rsidR="00141935" w:rsidRPr="00B743FB" w:rsidRDefault="00141935" w:rsidP="00620BBC">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2892437</w:t>
            </w:r>
          </w:p>
        </w:tc>
        <w:tc>
          <w:tcPr>
            <w:tcW w:w="2700" w:type="dxa"/>
            <w:noWrap/>
            <w:hideMark/>
          </w:tcPr>
          <w:p w14:paraId="30505496" w14:textId="77777777" w:rsidR="00141935" w:rsidRPr="00B743FB" w:rsidRDefault="00141935" w:rsidP="00620BBC">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3.990</w:t>
            </w:r>
          </w:p>
        </w:tc>
      </w:tr>
      <w:tr w:rsidR="00141935" w:rsidRPr="00B743FB" w14:paraId="35BBB868" w14:textId="77777777" w:rsidTr="007E66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1B554AE5" w14:textId="77777777" w:rsidR="00141935" w:rsidRPr="00B743FB" w:rsidRDefault="00141935" w:rsidP="00620BBC">
            <w:pPr>
              <w:spacing w:after="120" w:line="240" w:lineRule="auto"/>
              <w:rPr>
                <w:rFonts w:ascii="Aptos Narrow" w:eastAsia="Times New Roman" w:hAnsi="Aptos Narrow"/>
                <w:color w:val="000000"/>
                <w:lang w:eastAsia="en-NZ"/>
              </w:rPr>
            </w:pPr>
            <w:r w:rsidRPr="00B743FB">
              <w:rPr>
                <w:rFonts w:ascii="Aptos Narrow" w:eastAsia="Times New Roman" w:hAnsi="Aptos Narrow"/>
                <w:color w:val="000000"/>
                <w:lang w:eastAsia="en-NZ"/>
              </w:rPr>
              <w:t>Office Tools</w:t>
            </w:r>
          </w:p>
        </w:tc>
        <w:tc>
          <w:tcPr>
            <w:tcW w:w="2600" w:type="dxa"/>
            <w:noWrap/>
            <w:hideMark/>
          </w:tcPr>
          <w:p w14:paraId="3226ED56" w14:textId="77777777" w:rsidR="00141935" w:rsidRPr="00B743FB" w:rsidRDefault="00141935" w:rsidP="00620BBC">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2882713</w:t>
            </w:r>
          </w:p>
        </w:tc>
        <w:tc>
          <w:tcPr>
            <w:tcW w:w="2700" w:type="dxa"/>
            <w:noWrap/>
            <w:hideMark/>
          </w:tcPr>
          <w:p w14:paraId="1A6BD449" w14:textId="77777777" w:rsidR="00141935" w:rsidRPr="00B743FB" w:rsidRDefault="00141935" w:rsidP="00620BBC">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4.004</w:t>
            </w:r>
          </w:p>
        </w:tc>
      </w:tr>
      <w:tr w:rsidR="00141935" w:rsidRPr="00B743FB" w14:paraId="12184CB2" w14:textId="77777777" w:rsidTr="007E6697">
        <w:trPr>
          <w:trHeight w:val="29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7D9E36FC" w14:textId="77777777" w:rsidR="00141935" w:rsidRPr="00B743FB" w:rsidRDefault="00141935" w:rsidP="00620BBC">
            <w:pPr>
              <w:spacing w:after="120" w:line="240" w:lineRule="auto"/>
              <w:rPr>
                <w:rFonts w:ascii="Aptos Narrow" w:eastAsia="Times New Roman" w:hAnsi="Aptos Narrow"/>
                <w:color w:val="000000"/>
                <w:lang w:eastAsia="en-NZ"/>
              </w:rPr>
            </w:pPr>
            <w:r w:rsidRPr="00B743FB">
              <w:rPr>
                <w:rFonts w:ascii="Aptos Narrow" w:eastAsia="Times New Roman" w:hAnsi="Aptos Narrow"/>
                <w:color w:val="000000"/>
                <w:lang w:eastAsia="en-NZ"/>
              </w:rPr>
              <w:t>Business</w:t>
            </w:r>
          </w:p>
        </w:tc>
        <w:tc>
          <w:tcPr>
            <w:tcW w:w="2600" w:type="dxa"/>
            <w:noWrap/>
            <w:hideMark/>
          </w:tcPr>
          <w:p w14:paraId="39B04D25" w14:textId="77777777" w:rsidR="00141935" w:rsidRPr="00B743FB" w:rsidRDefault="00141935" w:rsidP="00620BBC">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2848578</w:t>
            </w:r>
          </w:p>
        </w:tc>
        <w:tc>
          <w:tcPr>
            <w:tcW w:w="2700" w:type="dxa"/>
            <w:noWrap/>
            <w:hideMark/>
          </w:tcPr>
          <w:p w14:paraId="3B8C57FD" w14:textId="77777777" w:rsidR="00141935" w:rsidRPr="00B743FB" w:rsidRDefault="00141935" w:rsidP="00620BBC">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3.994</w:t>
            </w:r>
          </w:p>
        </w:tc>
      </w:tr>
      <w:tr w:rsidR="00141935" w:rsidRPr="00B743FB" w14:paraId="2EEE2985" w14:textId="77777777" w:rsidTr="007E66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4942FC97" w14:textId="77777777" w:rsidR="00141935" w:rsidRPr="00B743FB" w:rsidRDefault="00141935" w:rsidP="00620BBC">
            <w:pPr>
              <w:spacing w:after="120" w:line="240" w:lineRule="auto"/>
              <w:rPr>
                <w:rFonts w:ascii="Aptos Narrow" w:eastAsia="Times New Roman" w:hAnsi="Aptos Narrow"/>
                <w:color w:val="000000"/>
                <w:lang w:eastAsia="en-NZ"/>
              </w:rPr>
            </w:pPr>
            <w:r w:rsidRPr="00B743FB">
              <w:rPr>
                <w:rFonts w:ascii="Aptos Narrow" w:eastAsia="Times New Roman" w:hAnsi="Aptos Narrow"/>
                <w:color w:val="000000"/>
                <w:lang w:eastAsia="en-NZ"/>
              </w:rPr>
              <w:t>AI</w:t>
            </w:r>
          </w:p>
        </w:tc>
        <w:tc>
          <w:tcPr>
            <w:tcW w:w="2600" w:type="dxa"/>
            <w:noWrap/>
            <w:hideMark/>
          </w:tcPr>
          <w:p w14:paraId="29E101FA" w14:textId="77777777" w:rsidR="00141935" w:rsidRPr="00B743FB" w:rsidRDefault="00141935" w:rsidP="00620BBC">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2809869</w:t>
            </w:r>
          </w:p>
        </w:tc>
        <w:tc>
          <w:tcPr>
            <w:tcW w:w="2700" w:type="dxa"/>
            <w:noWrap/>
            <w:hideMark/>
          </w:tcPr>
          <w:p w14:paraId="3815947C" w14:textId="77777777" w:rsidR="00141935" w:rsidRPr="00B743FB" w:rsidRDefault="00141935" w:rsidP="00620BBC">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3.983</w:t>
            </w:r>
          </w:p>
        </w:tc>
      </w:tr>
      <w:tr w:rsidR="00141935" w:rsidRPr="00B743FB" w14:paraId="209C1CE7" w14:textId="77777777" w:rsidTr="007E6697">
        <w:trPr>
          <w:trHeight w:val="29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01BBB04E" w14:textId="77777777" w:rsidR="00141935" w:rsidRPr="00B743FB" w:rsidRDefault="00141935" w:rsidP="00620BBC">
            <w:pPr>
              <w:spacing w:after="120" w:line="240" w:lineRule="auto"/>
              <w:rPr>
                <w:rFonts w:ascii="Aptos Narrow" w:eastAsia="Times New Roman" w:hAnsi="Aptos Narrow"/>
                <w:color w:val="000000"/>
                <w:lang w:eastAsia="en-NZ"/>
              </w:rPr>
            </w:pPr>
            <w:r w:rsidRPr="00B743FB">
              <w:rPr>
                <w:rFonts w:ascii="Aptos Narrow" w:eastAsia="Times New Roman" w:hAnsi="Aptos Narrow"/>
                <w:color w:val="000000"/>
                <w:lang w:eastAsia="en-NZ"/>
              </w:rPr>
              <w:t>Design</w:t>
            </w:r>
          </w:p>
        </w:tc>
        <w:tc>
          <w:tcPr>
            <w:tcW w:w="2600" w:type="dxa"/>
            <w:noWrap/>
            <w:hideMark/>
          </w:tcPr>
          <w:p w14:paraId="186763C6" w14:textId="77777777" w:rsidR="00141935" w:rsidRPr="00B743FB" w:rsidRDefault="00141935" w:rsidP="00620BBC">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2783497</w:t>
            </w:r>
          </w:p>
        </w:tc>
        <w:tc>
          <w:tcPr>
            <w:tcW w:w="2700" w:type="dxa"/>
            <w:noWrap/>
            <w:hideMark/>
          </w:tcPr>
          <w:p w14:paraId="516B68B1" w14:textId="77777777" w:rsidR="00141935" w:rsidRPr="00B743FB" w:rsidRDefault="00141935" w:rsidP="00620BBC">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3.999</w:t>
            </w:r>
          </w:p>
        </w:tc>
      </w:tr>
      <w:tr w:rsidR="00141935" w:rsidRPr="00B743FB" w14:paraId="28395EBE" w14:textId="77777777" w:rsidTr="007E66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200D9227" w14:textId="77777777" w:rsidR="00141935" w:rsidRPr="00B743FB" w:rsidRDefault="00141935" w:rsidP="00620BBC">
            <w:pPr>
              <w:spacing w:after="120" w:line="240" w:lineRule="auto"/>
              <w:rPr>
                <w:rFonts w:ascii="Aptos Narrow" w:eastAsia="Times New Roman" w:hAnsi="Aptos Narrow"/>
                <w:color w:val="000000"/>
                <w:lang w:eastAsia="en-NZ"/>
              </w:rPr>
            </w:pPr>
            <w:r w:rsidRPr="00B743FB">
              <w:rPr>
                <w:rFonts w:ascii="Aptos Narrow" w:eastAsia="Times New Roman" w:hAnsi="Aptos Narrow"/>
                <w:color w:val="000000"/>
                <w:lang w:eastAsia="en-NZ"/>
              </w:rPr>
              <w:t>Data Science</w:t>
            </w:r>
          </w:p>
        </w:tc>
        <w:tc>
          <w:tcPr>
            <w:tcW w:w="2600" w:type="dxa"/>
            <w:noWrap/>
            <w:hideMark/>
          </w:tcPr>
          <w:p w14:paraId="43AC998A" w14:textId="77777777" w:rsidR="00141935" w:rsidRPr="00B743FB" w:rsidRDefault="00141935" w:rsidP="00620BBC">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2734806</w:t>
            </w:r>
          </w:p>
        </w:tc>
        <w:tc>
          <w:tcPr>
            <w:tcW w:w="2700" w:type="dxa"/>
            <w:noWrap/>
            <w:hideMark/>
          </w:tcPr>
          <w:p w14:paraId="4F8B25E3" w14:textId="77777777" w:rsidR="00141935" w:rsidRPr="00B743FB" w:rsidRDefault="00141935" w:rsidP="00620BBC">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4.015</w:t>
            </w:r>
          </w:p>
        </w:tc>
      </w:tr>
      <w:tr w:rsidR="00141935" w:rsidRPr="00B743FB" w14:paraId="3C33BD64" w14:textId="77777777" w:rsidTr="007E6697">
        <w:trPr>
          <w:trHeight w:val="29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3BF45A5E" w14:textId="77777777" w:rsidR="00141935" w:rsidRPr="00B743FB" w:rsidRDefault="00141935" w:rsidP="00620BBC">
            <w:pPr>
              <w:spacing w:after="120" w:line="240" w:lineRule="auto"/>
              <w:rPr>
                <w:rFonts w:ascii="Aptos Narrow" w:eastAsia="Times New Roman" w:hAnsi="Aptos Narrow"/>
                <w:color w:val="000000"/>
                <w:lang w:eastAsia="en-NZ"/>
              </w:rPr>
            </w:pPr>
            <w:r w:rsidRPr="00B743FB">
              <w:rPr>
                <w:rFonts w:ascii="Aptos Narrow" w:eastAsia="Times New Roman" w:hAnsi="Aptos Narrow"/>
                <w:color w:val="000000"/>
                <w:lang w:eastAsia="en-NZ"/>
              </w:rPr>
              <w:t>Technology</w:t>
            </w:r>
          </w:p>
        </w:tc>
        <w:tc>
          <w:tcPr>
            <w:tcW w:w="2600" w:type="dxa"/>
            <w:noWrap/>
            <w:hideMark/>
          </w:tcPr>
          <w:p w14:paraId="283B9C98" w14:textId="77777777" w:rsidR="00141935" w:rsidRPr="00B743FB" w:rsidRDefault="00141935" w:rsidP="00620BBC">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2728293</w:t>
            </w:r>
          </w:p>
        </w:tc>
        <w:tc>
          <w:tcPr>
            <w:tcW w:w="2700" w:type="dxa"/>
            <w:noWrap/>
            <w:hideMark/>
          </w:tcPr>
          <w:p w14:paraId="11F341E6" w14:textId="77777777" w:rsidR="00141935" w:rsidRPr="00B743FB" w:rsidRDefault="00141935" w:rsidP="00620BBC">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3.957</w:t>
            </w:r>
          </w:p>
        </w:tc>
      </w:tr>
      <w:tr w:rsidR="00141935" w:rsidRPr="00B743FB" w14:paraId="33DE5ED5" w14:textId="77777777" w:rsidTr="007E66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60" w:type="dxa"/>
            <w:noWrap/>
            <w:hideMark/>
          </w:tcPr>
          <w:p w14:paraId="27F57EF2" w14:textId="77777777" w:rsidR="00141935" w:rsidRPr="00B743FB" w:rsidRDefault="00141935" w:rsidP="00620BBC">
            <w:pPr>
              <w:spacing w:after="120" w:line="240" w:lineRule="auto"/>
              <w:rPr>
                <w:rFonts w:ascii="Aptos Narrow" w:eastAsia="Times New Roman" w:hAnsi="Aptos Narrow"/>
                <w:color w:val="000000"/>
                <w:lang w:eastAsia="en-NZ"/>
              </w:rPr>
            </w:pPr>
            <w:r w:rsidRPr="00B743FB">
              <w:rPr>
                <w:rFonts w:ascii="Aptos Narrow" w:eastAsia="Times New Roman" w:hAnsi="Aptos Narrow"/>
                <w:color w:val="000000"/>
                <w:lang w:eastAsia="en-NZ"/>
              </w:rPr>
              <w:t>Programming</w:t>
            </w:r>
          </w:p>
        </w:tc>
        <w:tc>
          <w:tcPr>
            <w:tcW w:w="2600" w:type="dxa"/>
            <w:noWrap/>
            <w:hideMark/>
          </w:tcPr>
          <w:p w14:paraId="1013C6AF" w14:textId="77777777" w:rsidR="00141935" w:rsidRPr="00B743FB" w:rsidRDefault="00141935" w:rsidP="00620BBC">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2676599</w:t>
            </w:r>
          </w:p>
        </w:tc>
        <w:tc>
          <w:tcPr>
            <w:tcW w:w="2700" w:type="dxa"/>
            <w:noWrap/>
            <w:hideMark/>
          </w:tcPr>
          <w:p w14:paraId="61B9E6F6" w14:textId="77777777" w:rsidR="00141935" w:rsidRPr="00B743FB" w:rsidRDefault="00141935" w:rsidP="00620BBC">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lang w:eastAsia="en-NZ"/>
              </w:rPr>
            </w:pPr>
            <w:r w:rsidRPr="00B743FB">
              <w:rPr>
                <w:rFonts w:ascii="Aptos Narrow" w:eastAsia="Times New Roman" w:hAnsi="Aptos Narrow"/>
                <w:color w:val="000000"/>
                <w:lang w:eastAsia="en-NZ"/>
              </w:rPr>
              <w:t>3.991</w:t>
            </w:r>
          </w:p>
        </w:tc>
      </w:tr>
    </w:tbl>
    <w:p w14:paraId="74E8E7B2" w14:textId="4F6ABB6F" w:rsidR="00141935" w:rsidRDefault="00141935" w:rsidP="00620BBC">
      <w:pPr>
        <w:spacing w:after="120" w:line="240" w:lineRule="auto"/>
        <w:jc w:val="both"/>
      </w:pPr>
    </w:p>
    <w:p w14:paraId="260D7B19" w14:textId="77777777" w:rsidR="00141935" w:rsidRDefault="00141935" w:rsidP="00620BBC">
      <w:pPr>
        <w:spacing w:after="120" w:line="240" w:lineRule="auto"/>
      </w:pPr>
      <w:r>
        <w:rPr>
          <w:noProof/>
        </w:rPr>
        <w:lastRenderedPageBreak/>
        <w:drawing>
          <wp:inline distT="0" distB="0" distL="0" distR="0" wp14:anchorId="5B064EF7" wp14:editId="09C05ECD">
            <wp:extent cx="5899150" cy="3279140"/>
            <wp:effectExtent l="0" t="0" r="6350" b="16510"/>
            <wp:docPr id="2100182176" name="Chart 1">
              <a:extLst xmlns:a="http://schemas.openxmlformats.org/drawingml/2006/main">
                <a:ext uri="{FF2B5EF4-FFF2-40B4-BE49-F238E27FC236}">
                  <a16:creationId xmlns:a16="http://schemas.microsoft.com/office/drawing/2014/main" id="{A613F40A-F0C2-7137-836B-7AEE61522B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44C7E6" w14:textId="77777777" w:rsidR="00945AA3" w:rsidRDefault="00945AA3" w:rsidP="00620BBC">
      <w:pPr>
        <w:spacing w:after="120" w:line="240" w:lineRule="auto"/>
      </w:pPr>
      <w:r>
        <w:t>The table and chart show that Marketing leads with the highest enrolment at 2.95 million, followed by Finance and Office Tools with 2.89 million and 2.88 million students, respectively. Categories such as Business, AI, and Design also attract strong enrolments, while Data Science, Technology, and Programming have lower figures, ranging from 2.67 to 2.73 million. This suggests that learner demand is higher for soft skills and business-focused courses, with less emphasis on technical fields.</w:t>
      </w:r>
    </w:p>
    <w:p w14:paraId="3F177B4B" w14:textId="77777777" w:rsidR="00620BBC" w:rsidRDefault="00945AA3" w:rsidP="00620BBC">
      <w:pPr>
        <w:spacing w:after="120" w:line="240" w:lineRule="auto"/>
      </w:pPr>
      <w:r>
        <w:t>In terms of satisfaction, ratings are generally high, with Data Science and Marketing leading at 4.015 and 4.014, respectively. Technology has the lowest rating at 3.957, possibly reflecting issues with course quality or learner expectations</w:t>
      </w:r>
      <w:r w:rsidR="00A80B73">
        <w:br w:type="page"/>
      </w:r>
    </w:p>
    <w:p w14:paraId="2C871400" w14:textId="668BDC46" w:rsidR="00620BBC" w:rsidRDefault="00620BBC" w:rsidP="00620BBC">
      <w:pPr>
        <w:pStyle w:val="Heading1"/>
        <w:numPr>
          <w:ilvl w:val="0"/>
          <w:numId w:val="12"/>
        </w:numPr>
        <w:spacing w:before="0" w:after="120"/>
      </w:pPr>
      <w:bookmarkStart w:id="7" w:name="_Toc194084542"/>
      <w:r>
        <w:lastRenderedPageBreak/>
        <w:t>Diagnostic analysis</w:t>
      </w:r>
      <w:bookmarkEnd w:id="7"/>
    </w:p>
    <w:p w14:paraId="65B6571A" w14:textId="18C30E9E" w:rsidR="00B02FEE" w:rsidRPr="00A80B73" w:rsidRDefault="00A80B73" w:rsidP="00620BBC">
      <w:pPr>
        <w:pStyle w:val="Heading2"/>
        <w:spacing w:before="0" w:after="120" w:line="240" w:lineRule="auto"/>
      </w:pPr>
      <w:bookmarkStart w:id="8" w:name="_Toc194084543"/>
      <w:r>
        <w:t xml:space="preserve">5.1 </w:t>
      </w:r>
      <w:r w:rsidR="00DC121F" w:rsidRPr="00A80B73">
        <w:t>Correlation heatmap</w:t>
      </w:r>
      <w:bookmarkEnd w:id="8"/>
    </w:p>
    <w:p w14:paraId="7B171AFD" w14:textId="77777777" w:rsidR="00A80B73" w:rsidRDefault="00A80B73" w:rsidP="00620BBC">
      <w:pPr>
        <w:spacing w:after="120" w:line="240" w:lineRule="auto"/>
      </w:pPr>
    </w:p>
    <w:tbl>
      <w:tblPr>
        <w:tblW w:w="9680" w:type="dxa"/>
        <w:tblLook w:val="04A0" w:firstRow="1" w:lastRow="0" w:firstColumn="1" w:lastColumn="0" w:noHBand="0" w:noVBand="1"/>
      </w:tblPr>
      <w:tblGrid>
        <w:gridCol w:w="1920"/>
        <w:gridCol w:w="1600"/>
        <w:gridCol w:w="1660"/>
        <w:gridCol w:w="1680"/>
        <w:gridCol w:w="1440"/>
        <w:gridCol w:w="1380"/>
      </w:tblGrid>
      <w:tr w:rsidR="00B02FEE" w:rsidRPr="00B02FEE" w14:paraId="3CA2E715" w14:textId="77777777" w:rsidTr="00B02FEE">
        <w:trPr>
          <w:trHeight w:val="290"/>
        </w:trPr>
        <w:tc>
          <w:tcPr>
            <w:tcW w:w="1920" w:type="dxa"/>
            <w:tcBorders>
              <w:top w:val="single" w:sz="8" w:space="0" w:color="auto"/>
              <w:left w:val="nil"/>
              <w:bottom w:val="single" w:sz="4" w:space="0" w:color="auto"/>
              <w:right w:val="nil"/>
            </w:tcBorders>
            <w:shd w:val="clear" w:color="auto" w:fill="auto"/>
            <w:noWrap/>
            <w:vAlign w:val="bottom"/>
            <w:hideMark/>
          </w:tcPr>
          <w:p w14:paraId="0DE03DF5" w14:textId="77777777" w:rsidR="00B02FEE" w:rsidRPr="00B02FEE" w:rsidRDefault="00B02FEE" w:rsidP="00620BBC">
            <w:pPr>
              <w:spacing w:after="120" w:line="240" w:lineRule="auto"/>
              <w:jc w:val="center"/>
              <w:rPr>
                <w:rFonts w:ascii="Aptos Narrow" w:eastAsia="Times New Roman" w:hAnsi="Aptos Narrow"/>
                <w:i/>
                <w:iCs/>
                <w:color w:val="000000"/>
                <w:lang w:eastAsia="en-NZ"/>
              </w:rPr>
            </w:pPr>
            <w:r w:rsidRPr="00B02FEE">
              <w:rPr>
                <w:rFonts w:ascii="Aptos Narrow" w:eastAsia="Times New Roman" w:hAnsi="Aptos Narrow"/>
                <w:i/>
                <w:iCs/>
                <w:color w:val="000000"/>
                <w:lang w:eastAsia="en-NZ"/>
              </w:rPr>
              <w:t> </w:t>
            </w:r>
          </w:p>
        </w:tc>
        <w:tc>
          <w:tcPr>
            <w:tcW w:w="1600" w:type="dxa"/>
            <w:tcBorders>
              <w:top w:val="single" w:sz="8" w:space="0" w:color="auto"/>
              <w:left w:val="nil"/>
              <w:bottom w:val="single" w:sz="4" w:space="0" w:color="auto"/>
              <w:right w:val="nil"/>
            </w:tcBorders>
            <w:shd w:val="clear" w:color="auto" w:fill="auto"/>
            <w:noWrap/>
            <w:vAlign w:val="bottom"/>
            <w:hideMark/>
          </w:tcPr>
          <w:p w14:paraId="6EB58949" w14:textId="77777777" w:rsidR="00B02FEE" w:rsidRPr="00B02FEE" w:rsidRDefault="00B02FEE" w:rsidP="00620BBC">
            <w:pPr>
              <w:spacing w:after="120" w:line="240" w:lineRule="auto"/>
              <w:jc w:val="center"/>
              <w:rPr>
                <w:rFonts w:ascii="Aptos Narrow" w:eastAsia="Times New Roman" w:hAnsi="Aptos Narrow"/>
                <w:i/>
                <w:iCs/>
                <w:color w:val="000000"/>
                <w:lang w:eastAsia="en-NZ"/>
              </w:rPr>
            </w:pPr>
            <w:r w:rsidRPr="00B02FEE">
              <w:rPr>
                <w:rFonts w:ascii="Aptos Narrow" w:eastAsia="Times New Roman" w:hAnsi="Aptos Narrow"/>
                <w:i/>
                <w:iCs/>
                <w:color w:val="000000"/>
                <w:lang w:eastAsia="en-NZ"/>
              </w:rPr>
              <w:t>Duration (hours)</w:t>
            </w:r>
          </w:p>
        </w:tc>
        <w:tc>
          <w:tcPr>
            <w:tcW w:w="1660" w:type="dxa"/>
            <w:tcBorders>
              <w:top w:val="single" w:sz="8" w:space="0" w:color="auto"/>
              <w:left w:val="nil"/>
              <w:bottom w:val="single" w:sz="4" w:space="0" w:color="auto"/>
              <w:right w:val="nil"/>
            </w:tcBorders>
            <w:shd w:val="clear" w:color="auto" w:fill="auto"/>
            <w:noWrap/>
            <w:vAlign w:val="bottom"/>
            <w:hideMark/>
          </w:tcPr>
          <w:p w14:paraId="4560B8F2" w14:textId="77777777" w:rsidR="00B02FEE" w:rsidRPr="00B02FEE" w:rsidRDefault="00B02FEE" w:rsidP="00620BBC">
            <w:pPr>
              <w:spacing w:after="120" w:line="240" w:lineRule="auto"/>
              <w:jc w:val="center"/>
              <w:rPr>
                <w:rFonts w:ascii="Aptos Narrow" w:eastAsia="Times New Roman" w:hAnsi="Aptos Narrow"/>
                <w:i/>
                <w:iCs/>
                <w:color w:val="000000"/>
                <w:lang w:eastAsia="en-NZ"/>
              </w:rPr>
            </w:pPr>
            <w:r w:rsidRPr="00B02FEE">
              <w:rPr>
                <w:rFonts w:ascii="Aptos Narrow" w:eastAsia="Times New Roman" w:hAnsi="Aptos Narrow"/>
                <w:i/>
                <w:iCs/>
                <w:color w:val="000000"/>
                <w:lang w:eastAsia="en-NZ"/>
              </w:rPr>
              <w:t>Enrolled students</w:t>
            </w:r>
          </w:p>
        </w:tc>
        <w:tc>
          <w:tcPr>
            <w:tcW w:w="1680" w:type="dxa"/>
            <w:tcBorders>
              <w:top w:val="single" w:sz="8" w:space="0" w:color="auto"/>
              <w:left w:val="nil"/>
              <w:bottom w:val="single" w:sz="4" w:space="0" w:color="auto"/>
              <w:right w:val="nil"/>
            </w:tcBorders>
            <w:shd w:val="clear" w:color="auto" w:fill="auto"/>
            <w:noWrap/>
            <w:vAlign w:val="bottom"/>
            <w:hideMark/>
          </w:tcPr>
          <w:p w14:paraId="2AA3E678" w14:textId="77777777" w:rsidR="00B02FEE" w:rsidRPr="00B02FEE" w:rsidRDefault="00B02FEE" w:rsidP="00620BBC">
            <w:pPr>
              <w:spacing w:after="120" w:line="240" w:lineRule="auto"/>
              <w:jc w:val="center"/>
              <w:rPr>
                <w:rFonts w:ascii="Aptos Narrow" w:eastAsia="Times New Roman" w:hAnsi="Aptos Narrow"/>
                <w:i/>
                <w:iCs/>
                <w:color w:val="000000"/>
                <w:lang w:eastAsia="en-NZ"/>
              </w:rPr>
            </w:pPr>
            <w:r w:rsidRPr="00B02FEE">
              <w:rPr>
                <w:rFonts w:ascii="Aptos Narrow" w:eastAsia="Times New Roman" w:hAnsi="Aptos Narrow"/>
                <w:i/>
                <w:iCs/>
                <w:color w:val="000000"/>
                <w:lang w:eastAsia="en-NZ"/>
              </w:rPr>
              <w:t>Completion rate (%)</w:t>
            </w:r>
          </w:p>
        </w:tc>
        <w:tc>
          <w:tcPr>
            <w:tcW w:w="1440" w:type="dxa"/>
            <w:tcBorders>
              <w:top w:val="single" w:sz="8" w:space="0" w:color="auto"/>
              <w:left w:val="nil"/>
              <w:bottom w:val="single" w:sz="4" w:space="0" w:color="auto"/>
              <w:right w:val="nil"/>
            </w:tcBorders>
            <w:shd w:val="clear" w:color="auto" w:fill="auto"/>
            <w:noWrap/>
            <w:vAlign w:val="bottom"/>
            <w:hideMark/>
          </w:tcPr>
          <w:p w14:paraId="6CCD592A" w14:textId="77777777" w:rsidR="00B02FEE" w:rsidRPr="00B02FEE" w:rsidRDefault="00B02FEE" w:rsidP="00620BBC">
            <w:pPr>
              <w:spacing w:after="120" w:line="240" w:lineRule="auto"/>
              <w:jc w:val="center"/>
              <w:rPr>
                <w:rFonts w:ascii="Aptos Narrow" w:eastAsia="Times New Roman" w:hAnsi="Aptos Narrow"/>
                <w:i/>
                <w:iCs/>
                <w:color w:val="000000"/>
                <w:lang w:eastAsia="en-NZ"/>
              </w:rPr>
            </w:pPr>
            <w:r w:rsidRPr="00B02FEE">
              <w:rPr>
                <w:rFonts w:ascii="Aptos Narrow" w:eastAsia="Times New Roman" w:hAnsi="Aptos Narrow"/>
                <w:i/>
                <w:iCs/>
                <w:color w:val="000000"/>
                <w:lang w:eastAsia="en-NZ"/>
              </w:rPr>
              <w:t>Price ($)</w:t>
            </w:r>
          </w:p>
        </w:tc>
        <w:tc>
          <w:tcPr>
            <w:tcW w:w="1380" w:type="dxa"/>
            <w:tcBorders>
              <w:top w:val="single" w:sz="8" w:space="0" w:color="auto"/>
              <w:left w:val="nil"/>
              <w:bottom w:val="single" w:sz="4" w:space="0" w:color="auto"/>
              <w:right w:val="nil"/>
            </w:tcBorders>
            <w:shd w:val="clear" w:color="auto" w:fill="auto"/>
            <w:noWrap/>
            <w:vAlign w:val="bottom"/>
            <w:hideMark/>
          </w:tcPr>
          <w:p w14:paraId="1CE29CB7" w14:textId="77777777" w:rsidR="00B02FEE" w:rsidRPr="00B02FEE" w:rsidRDefault="00B02FEE" w:rsidP="00620BBC">
            <w:pPr>
              <w:spacing w:after="120" w:line="240" w:lineRule="auto"/>
              <w:jc w:val="center"/>
              <w:rPr>
                <w:rFonts w:ascii="Aptos Narrow" w:eastAsia="Times New Roman" w:hAnsi="Aptos Narrow"/>
                <w:i/>
                <w:iCs/>
                <w:color w:val="000000"/>
                <w:lang w:eastAsia="en-NZ"/>
              </w:rPr>
            </w:pPr>
            <w:r w:rsidRPr="00B02FEE">
              <w:rPr>
                <w:rFonts w:ascii="Aptos Narrow" w:eastAsia="Times New Roman" w:hAnsi="Aptos Narrow"/>
                <w:i/>
                <w:iCs/>
                <w:color w:val="000000"/>
                <w:lang w:eastAsia="en-NZ"/>
              </w:rPr>
              <w:t>Rating (out of 5)</w:t>
            </w:r>
          </w:p>
        </w:tc>
      </w:tr>
      <w:tr w:rsidR="00B02FEE" w:rsidRPr="00B02FEE" w14:paraId="5A2F536D" w14:textId="77777777" w:rsidTr="00B02FEE">
        <w:trPr>
          <w:trHeight w:val="290"/>
        </w:trPr>
        <w:tc>
          <w:tcPr>
            <w:tcW w:w="1920" w:type="dxa"/>
            <w:tcBorders>
              <w:top w:val="nil"/>
              <w:left w:val="nil"/>
              <w:bottom w:val="nil"/>
              <w:right w:val="nil"/>
            </w:tcBorders>
            <w:shd w:val="clear" w:color="auto" w:fill="auto"/>
            <w:noWrap/>
            <w:vAlign w:val="bottom"/>
            <w:hideMark/>
          </w:tcPr>
          <w:p w14:paraId="5087D8DC" w14:textId="77777777" w:rsidR="00B02FEE" w:rsidRPr="00B02FEE" w:rsidRDefault="00B02FEE" w:rsidP="00620BBC">
            <w:pPr>
              <w:spacing w:after="120" w:line="240" w:lineRule="auto"/>
              <w:rPr>
                <w:rFonts w:ascii="Aptos Narrow" w:eastAsia="Times New Roman" w:hAnsi="Aptos Narrow"/>
                <w:color w:val="000000"/>
                <w:lang w:eastAsia="en-NZ"/>
              </w:rPr>
            </w:pPr>
            <w:r w:rsidRPr="00B02FEE">
              <w:rPr>
                <w:rFonts w:ascii="Aptos Narrow" w:eastAsia="Times New Roman" w:hAnsi="Aptos Narrow"/>
                <w:color w:val="000000"/>
                <w:lang w:eastAsia="en-NZ"/>
              </w:rPr>
              <w:t>Duration (hours)</w:t>
            </w:r>
          </w:p>
        </w:tc>
        <w:tc>
          <w:tcPr>
            <w:tcW w:w="1600" w:type="dxa"/>
            <w:tcBorders>
              <w:top w:val="nil"/>
              <w:left w:val="nil"/>
              <w:bottom w:val="nil"/>
              <w:right w:val="nil"/>
            </w:tcBorders>
            <w:shd w:val="clear" w:color="000000" w:fill="63BE7B"/>
            <w:noWrap/>
            <w:vAlign w:val="bottom"/>
            <w:hideMark/>
          </w:tcPr>
          <w:p w14:paraId="06974DA9"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1</w:t>
            </w:r>
          </w:p>
        </w:tc>
        <w:tc>
          <w:tcPr>
            <w:tcW w:w="1660" w:type="dxa"/>
            <w:tcBorders>
              <w:top w:val="nil"/>
              <w:left w:val="nil"/>
              <w:bottom w:val="nil"/>
              <w:right w:val="nil"/>
            </w:tcBorders>
            <w:shd w:val="clear" w:color="auto" w:fill="auto"/>
            <w:noWrap/>
            <w:vAlign w:val="bottom"/>
            <w:hideMark/>
          </w:tcPr>
          <w:p w14:paraId="758B08C9" w14:textId="77777777" w:rsidR="00B02FEE" w:rsidRPr="00B02FEE" w:rsidRDefault="00B02FEE" w:rsidP="00620BBC">
            <w:pPr>
              <w:spacing w:after="120" w:line="240" w:lineRule="auto"/>
              <w:jc w:val="right"/>
              <w:rPr>
                <w:rFonts w:ascii="Aptos Narrow" w:eastAsia="Times New Roman" w:hAnsi="Aptos Narrow"/>
                <w:color w:val="000000"/>
                <w:lang w:eastAsia="en-NZ"/>
              </w:rPr>
            </w:pPr>
          </w:p>
        </w:tc>
        <w:tc>
          <w:tcPr>
            <w:tcW w:w="1680" w:type="dxa"/>
            <w:tcBorders>
              <w:top w:val="nil"/>
              <w:left w:val="nil"/>
              <w:bottom w:val="nil"/>
              <w:right w:val="nil"/>
            </w:tcBorders>
            <w:shd w:val="clear" w:color="auto" w:fill="auto"/>
            <w:noWrap/>
            <w:vAlign w:val="bottom"/>
            <w:hideMark/>
          </w:tcPr>
          <w:p w14:paraId="71DCF04B" w14:textId="77777777" w:rsidR="00B02FEE" w:rsidRPr="00B02FEE" w:rsidRDefault="00B02FEE" w:rsidP="00620BBC">
            <w:pPr>
              <w:spacing w:after="120" w:line="240" w:lineRule="auto"/>
              <w:rPr>
                <w:rFonts w:ascii="Times New Roman" w:eastAsia="Times New Roman" w:hAnsi="Times New Roman"/>
                <w:sz w:val="20"/>
                <w:szCs w:val="20"/>
                <w:lang w:eastAsia="en-NZ"/>
              </w:rPr>
            </w:pPr>
          </w:p>
        </w:tc>
        <w:tc>
          <w:tcPr>
            <w:tcW w:w="1440" w:type="dxa"/>
            <w:tcBorders>
              <w:top w:val="nil"/>
              <w:left w:val="nil"/>
              <w:bottom w:val="nil"/>
              <w:right w:val="nil"/>
            </w:tcBorders>
            <w:shd w:val="clear" w:color="auto" w:fill="auto"/>
            <w:noWrap/>
            <w:vAlign w:val="bottom"/>
            <w:hideMark/>
          </w:tcPr>
          <w:p w14:paraId="43FB4F07" w14:textId="77777777" w:rsidR="00B02FEE" w:rsidRPr="00B02FEE" w:rsidRDefault="00B02FEE" w:rsidP="00620BBC">
            <w:pPr>
              <w:spacing w:after="120" w:line="240" w:lineRule="auto"/>
              <w:rPr>
                <w:rFonts w:ascii="Times New Roman" w:eastAsia="Times New Roman" w:hAnsi="Times New Roman"/>
                <w:sz w:val="20"/>
                <w:szCs w:val="20"/>
                <w:lang w:eastAsia="en-NZ"/>
              </w:rPr>
            </w:pPr>
          </w:p>
        </w:tc>
        <w:tc>
          <w:tcPr>
            <w:tcW w:w="1380" w:type="dxa"/>
            <w:tcBorders>
              <w:top w:val="nil"/>
              <w:left w:val="nil"/>
              <w:bottom w:val="nil"/>
              <w:right w:val="nil"/>
            </w:tcBorders>
            <w:shd w:val="clear" w:color="auto" w:fill="auto"/>
            <w:noWrap/>
            <w:vAlign w:val="bottom"/>
            <w:hideMark/>
          </w:tcPr>
          <w:p w14:paraId="1B139B08" w14:textId="77777777" w:rsidR="00B02FEE" w:rsidRPr="00B02FEE" w:rsidRDefault="00B02FEE" w:rsidP="00620BBC">
            <w:pPr>
              <w:spacing w:after="120" w:line="240" w:lineRule="auto"/>
              <w:rPr>
                <w:rFonts w:ascii="Times New Roman" w:eastAsia="Times New Roman" w:hAnsi="Times New Roman"/>
                <w:sz w:val="20"/>
                <w:szCs w:val="20"/>
                <w:lang w:eastAsia="en-NZ"/>
              </w:rPr>
            </w:pPr>
          </w:p>
        </w:tc>
      </w:tr>
      <w:tr w:rsidR="00B02FEE" w:rsidRPr="00B02FEE" w14:paraId="4B22FAD0" w14:textId="77777777" w:rsidTr="00B02FEE">
        <w:trPr>
          <w:trHeight w:val="290"/>
        </w:trPr>
        <w:tc>
          <w:tcPr>
            <w:tcW w:w="1920" w:type="dxa"/>
            <w:tcBorders>
              <w:top w:val="nil"/>
              <w:left w:val="nil"/>
              <w:bottom w:val="nil"/>
              <w:right w:val="nil"/>
            </w:tcBorders>
            <w:shd w:val="clear" w:color="auto" w:fill="auto"/>
            <w:noWrap/>
            <w:vAlign w:val="bottom"/>
            <w:hideMark/>
          </w:tcPr>
          <w:p w14:paraId="64A06E69" w14:textId="77777777" w:rsidR="00B02FEE" w:rsidRPr="00B02FEE" w:rsidRDefault="00B02FEE" w:rsidP="00620BBC">
            <w:pPr>
              <w:spacing w:after="120" w:line="240" w:lineRule="auto"/>
              <w:rPr>
                <w:rFonts w:ascii="Aptos Narrow" w:eastAsia="Times New Roman" w:hAnsi="Aptos Narrow"/>
                <w:color w:val="000000"/>
                <w:lang w:eastAsia="en-NZ"/>
              </w:rPr>
            </w:pPr>
            <w:r w:rsidRPr="00B02FEE">
              <w:rPr>
                <w:rFonts w:ascii="Aptos Narrow" w:eastAsia="Times New Roman" w:hAnsi="Aptos Narrow"/>
                <w:color w:val="000000"/>
                <w:lang w:eastAsia="en-NZ"/>
              </w:rPr>
              <w:t>Enrolled students</w:t>
            </w:r>
          </w:p>
        </w:tc>
        <w:tc>
          <w:tcPr>
            <w:tcW w:w="1600" w:type="dxa"/>
            <w:tcBorders>
              <w:top w:val="nil"/>
              <w:left w:val="nil"/>
              <w:bottom w:val="nil"/>
              <w:right w:val="nil"/>
            </w:tcBorders>
            <w:shd w:val="clear" w:color="000000" w:fill="FBAE78"/>
            <w:noWrap/>
            <w:vAlign w:val="bottom"/>
            <w:hideMark/>
          </w:tcPr>
          <w:p w14:paraId="79B8AEF9"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-0.015</w:t>
            </w:r>
          </w:p>
        </w:tc>
        <w:tc>
          <w:tcPr>
            <w:tcW w:w="1660" w:type="dxa"/>
            <w:tcBorders>
              <w:top w:val="nil"/>
              <w:left w:val="nil"/>
              <w:bottom w:val="nil"/>
              <w:right w:val="nil"/>
            </w:tcBorders>
            <w:shd w:val="clear" w:color="000000" w:fill="63BE7B"/>
            <w:noWrap/>
            <w:vAlign w:val="bottom"/>
            <w:hideMark/>
          </w:tcPr>
          <w:p w14:paraId="3D1D77D3"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1</w:t>
            </w:r>
          </w:p>
        </w:tc>
        <w:tc>
          <w:tcPr>
            <w:tcW w:w="1680" w:type="dxa"/>
            <w:tcBorders>
              <w:top w:val="nil"/>
              <w:left w:val="nil"/>
              <w:bottom w:val="nil"/>
              <w:right w:val="nil"/>
            </w:tcBorders>
            <w:shd w:val="clear" w:color="auto" w:fill="auto"/>
            <w:noWrap/>
            <w:vAlign w:val="bottom"/>
            <w:hideMark/>
          </w:tcPr>
          <w:p w14:paraId="2E8AACC0" w14:textId="77777777" w:rsidR="00B02FEE" w:rsidRPr="00B02FEE" w:rsidRDefault="00B02FEE" w:rsidP="00620BBC">
            <w:pPr>
              <w:spacing w:after="120" w:line="240" w:lineRule="auto"/>
              <w:jc w:val="right"/>
              <w:rPr>
                <w:rFonts w:ascii="Aptos Narrow" w:eastAsia="Times New Roman" w:hAnsi="Aptos Narrow"/>
                <w:color w:val="000000"/>
                <w:lang w:eastAsia="en-NZ"/>
              </w:rPr>
            </w:pPr>
          </w:p>
        </w:tc>
        <w:tc>
          <w:tcPr>
            <w:tcW w:w="1440" w:type="dxa"/>
            <w:tcBorders>
              <w:top w:val="nil"/>
              <w:left w:val="nil"/>
              <w:bottom w:val="nil"/>
              <w:right w:val="nil"/>
            </w:tcBorders>
            <w:shd w:val="clear" w:color="auto" w:fill="auto"/>
            <w:noWrap/>
            <w:vAlign w:val="bottom"/>
            <w:hideMark/>
          </w:tcPr>
          <w:p w14:paraId="19120616" w14:textId="77777777" w:rsidR="00B02FEE" w:rsidRPr="00B02FEE" w:rsidRDefault="00B02FEE" w:rsidP="00620BBC">
            <w:pPr>
              <w:spacing w:after="120" w:line="240" w:lineRule="auto"/>
              <w:rPr>
                <w:rFonts w:ascii="Times New Roman" w:eastAsia="Times New Roman" w:hAnsi="Times New Roman"/>
                <w:sz w:val="20"/>
                <w:szCs w:val="20"/>
                <w:lang w:eastAsia="en-NZ"/>
              </w:rPr>
            </w:pPr>
          </w:p>
        </w:tc>
        <w:tc>
          <w:tcPr>
            <w:tcW w:w="1380" w:type="dxa"/>
            <w:tcBorders>
              <w:top w:val="nil"/>
              <w:left w:val="nil"/>
              <w:bottom w:val="nil"/>
              <w:right w:val="nil"/>
            </w:tcBorders>
            <w:shd w:val="clear" w:color="auto" w:fill="auto"/>
            <w:noWrap/>
            <w:vAlign w:val="bottom"/>
            <w:hideMark/>
          </w:tcPr>
          <w:p w14:paraId="638046A4" w14:textId="77777777" w:rsidR="00B02FEE" w:rsidRPr="00B02FEE" w:rsidRDefault="00B02FEE" w:rsidP="00620BBC">
            <w:pPr>
              <w:spacing w:after="120" w:line="240" w:lineRule="auto"/>
              <w:rPr>
                <w:rFonts w:ascii="Times New Roman" w:eastAsia="Times New Roman" w:hAnsi="Times New Roman"/>
                <w:sz w:val="20"/>
                <w:szCs w:val="20"/>
                <w:lang w:eastAsia="en-NZ"/>
              </w:rPr>
            </w:pPr>
          </w:p>
        </w:tc>
      </w:tr>
      <w:tr w:rsidR="00B02FEE" w:rsidRPr="00B02FEE" w14:paraId="78AA4FF7" w14:textId="77777777" w:rsidTr="00B02FEE">
        <w:trPr>
          <w:trHeight w:val="290"/>
        </w:trPr>
        <w:tc>
          <w:tcPr>
            <w:tcW w:w="1920" w:type="dxa"/>
            <w:tcBorders>
              <w:top w:val="nil"/>
              <w:left w:val="nil"/>
              <w:bottom w:val="nil"/>
              <w:right w:val="nil"/>
            </w:tcBorders>
            <w:shd w:val="clear" w:color="auto" w:fill="auto"/>
            <w:noWrap/>
            <w:vAlign w:val="bottom"/>
            <w:hideMark/>
          </w:tcPr>
          <w:p w14:paraId="17FCD35C" w14:textId="77777777" w:rsidR="00B02FEE" w:rsidRPr="00B02FEE" w:rsidRDefault="00B02FEE" w:rsidP="00620BBC">
            <w:pPr>
              <w:spacing w:after="120" w:line="240" w:lineRule="auto"/>
              <w:rPr>
                <w:rFonts w:ascii="Aptos Narrow" w:eastAsia="Times New Roman" w:hAnsi="Aptos Narrow"/>
                <w:color w:val="000000"/>
                <w:lang w:eastAsia="en-NZ"/>
              </w:rPr>
            </w:pPr>
            <w:r w:rsidRPr="00B02FEE">
              <w:rPr>
                <w:rFonts w:ascii="Aptos Narrow" w:eastAsia="Times New Roman" w:hAnsi="Aptos Narrow"/>
                <w:color w:val="000000"/>
                <w:lang w:eastAsia="en-NZ"/>
              </w:rPr>
              <w:t>Completion rate (%)</w:t>
            </w:r>
          </w:p>
        </w:tc>
        <w:tc>
          <w:tcPr>
            <w:tcW w:w="1600" w:type="dxa"/>
            <w:tcBorders>
              <w:top w:val="nil"/>
              <w:left w:val="nil"/>
              <w:bottom w:val="nil"/>
              <w:right w:val="nil"/>
            </w:tcBorders>
            <w:shd w:val="clear" w:color="000000" w:fill="FCEB84"/>
            <w:noWrap/>
            <w:vAlign w:val="bottom"/>
            <w:hideMark/>
          </w:tcPr>
          <w:p w14:paraId="59452312"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0.033</w:t>
            </w:r>
          </w:p>
        </w:tc>
        <w:tc>
          <w:tcPr>
            <w:tcW w:w="1660" w:type="dxa"/>
            <w:tcBorders>
              <w:top w:val="nil"/>
              <w:left w:val="nil"/>
              <w:bottom w:val="nil"/>
              <w:right w:val="nil"/>
            </w:tcBorders>
            <w:shd w:val="clear" w:color="000000" w:fill="F87B6E"/>
            <w:noWrap/>
            <w:vAlign w:val="bottom"/>
            <w:hideMark/>
          </w:tcPr>
          <w:p w14:paraId="4C5F61A6"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-0.038</w:t>
            </w:r>
          </w:p>
        </w:tc>
        <w:tc>
          <w:tcPr>
            <w:tcW w:w="1680" w:type="dxa"/>
            <w:tcBorders>
              <w:top w:val="nil"/>
              <w:left w:val="nil"/>
              <w:bottom w:val="nil"/>
              <w:right w:val="nil"/>
            </w:tcBorders>
            <w:shd w:val="clear" w:color="000000" w:fill="63BE7B"/>
            <w:noWrap/>
            <w:vAlign w:val="bottom"/>
            <w:hideMark/>
          </w:tcPr>
          <w:p w14:paraId="0231FDAB"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1</w:t>
            </w:r>
          </w:p>
        </w:tc>
        <w:tc>
          <w:tcPr>
            <w:tcW w:w="1440" w:type="dxa"/>
            <w:tcBorders>
              <w:top w:val="nil"/>
              <w:left w:val="nil"/>
              <w:bottom w:val="nil"/>
              <w:right w:val="nil"/>
            </w:tcBorders>
            <w:shd w:val="clear" w:color="auto" w:fill="auto"/>
            <w:noWrap/>
            <w:vAlign w:val="bottom"/>
            <w:hideMark/>
          </w:tcPr>
          <w:p w14:paraId="52DD2CDC" w14:textId="77777777" w:rsidR="00B02FEE" w:rsidRPr="00B02FEE" w:rsidRDefault="00B02FEE" w:rsidP="00620BBC">
            <w:pPr>
              <w:spacing w:after="120" w:line="240" w:lineRule="auto"/>
              <w:jc w:val="right"/>
              <w:rPr>
                <w:rFonts w:ascii="Aptos Narrow" w:eastAsia="Times New Roman" w:hAnsi="Aptos Narrow"/>
                <w:color w:val="000000"/>
                <w:lang w:eastAsia="en-NZ"/>
              </w:rPr>
            </w:pPr>
          </w:p>
        </w:tc>
        <w:tc>
          <w:tcPr>
            <w:tcW w:w="1380" w:type="dxa"/>
            <w:tcBorders>
              <w:top w:val="nil"/>
              <w:left w:val="nil"/>
              <w:bottom w:val="nil"/>
              <w:right w:val="nil"/>
            </w:tcBorders>
            <w:shd w:val="clear" w:color="auto" w:fill="auto"/>
            <w:noWrap/>
            <w:vAlign w:val="bottom"/>
            <w:hideMark/>
          </w:tcPr>
          <w:p w14:paraId="0A0EE66B" w14:textId="77777777" w:rsidR="00B02FEE" w:rsidRPr="00B02FEE" w:rsidRDefault="00B02FEE" w:rsidP="00620BBC">
            <w:pPr>
              <w:spacing w:after="120" w:line="240" w:lineRule="auto"/>
              <w:rPr>
                <w:rFonts w:ascii="Times New Roman" w:eastAsia="Times New Roman" w:hAnsi="Times New Roman"/>
                <w:sz w:val="20"/>
                <w:szCs w:val="20"/>
                <w:lang w:eastAsia="en-NZ"/>
              </w:rPr>
            </w:pPr>
          </w:p>
        </w:tc>
      </w:tr>
      <w:tr w:rsidR="00B02FEE" w:rsidRPr="00B02FEE" w14:paraId="0057A9ED" w14:textId="77777777" w:rsidTr="00B02FEE">
        <w:trPr>
          <w:trHeight w:val="290"/>
        </w:trPr>
        <w:tc>
          <w:tcPr>
            <w:tcW w:w="1920" w:type="dxa"/>
            <w:tcBorders>
              <w:top w:val="nil"/>
              <w:left w:val="nil"/>
              <w:bottom w:val="nil"/>
              <w:right w:val="nil"/>
            </w:tcBorders>
            <w:shd w:val="clear" w:color="auto" w:fill="auto"/>
            <w:noWrap/>
            <w:vAlign w:val="bottom"/>
            <w:hideMark/>
          </w:tcPr>
          <w:p w14:paraId="38CAA04E" w14:textId="77777777" w:rsidR="00B02FEE" w:rsidRPr="00B02FEE" w:rsidRDefault="00B02FEE" w:rsidP="00620BBC">
            <w:pPr>
              <w:spacing w:after="120" w:line="240" w:lineRule="auto"/>
              <w:rPr>
                <w:rFonts w:ascii="Aptos Narrow" w:eastAsia="Times New Roman" w:hAnsi="Aptos Narrow"/>
                <w:color w:val="000000"/>
                <w:lang w:eastAsia="en-NZ"/>
              </w:rPr>
            </w:pPr>
            <w:r w:rsidRPr="00B02FEE">
              <w:rPr>
                <w:rFonts w:ascii="Aptos Narrow" w:eastAsia="Times New Roman" w:hAnsi="Aptos Narrow"/>
                <w:color w:val="000000"/>
                <w:lang w:eastAsia="en-NZ"/>
              </w:rPr>
              <w:t>Price ($)</w:t>
            </w:r>
          </w:p>
        </w:tc>
        <w:tc>
          <w:tcPr>
            <w:tcW w:w="1600" w:type="dxa"/>
            <w:tcBorders>
              <w:top w:val="nil"/>
              <w:left w:val="nil"/>
              <w:bottom w:val="nil"/>
              <w:right w:val="nil"/>
            </w:tcBorders>
            <w:shd w:val="clear" w:color="000000" w:fill="FEDE81"/>
            <w:noWrap/>
            <w:vAlign w:val="bottom"/>
            <w:hideMark/>
          </w:tcPr>
          <w:p w14:paraId="5074A7A0"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0.007</w:t>
            </w:r>
          </w:p>
        </w:tc>
        <w:tc>
          <w:tcPr>
            <w:tcW w:w="1660" w:type="dxa"/>
            <w:tcBorders>
              <w:top w:val="nil"/>
              <w:left w:val="nil"/>
              <w:bottom w:val="nil"/>
              <w:right w:val="nil"/>
            </w:tcBorders>
            <w:shd w:val="clear" w:color="000000" w:fill="FEE382"/>
            <w:noWrap/>
            <w:vAlign w:val="bottom"/>
            <w:hideMark/>
          </w:tcPr>
          <w:p w14:paraId="264F966B"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0.009</w:t>
            </w:r>
          </w:p>
        </w:tc>
        <w:tc>
          <w:tcPr>
            <w:tcW w:w="1680" w:type="dxa"/>
            <w:tcBorders>
              <w:top w:val="nil"/>
              <w:left w:val="nil"/>
              <w:bottom w:val="nil"/>
              <w:right w:val="nil"/>
            </w:tcBorders>
            <w:shd w:val="clear" w:color="000000" w:fill="F8696B"/>
            <w:noWrap/>
            <w:vAlign w:val="bottom"/>
            <w:hideMark/>
          </w:tcPr>
          <w:p w14:paraId="564A52EC"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-0.046</w:t>
            </w:r>
          </w:p>
        </w:tc>
        <w:tc>
          <w:tcPr>
            <w:tcW w:w="1440" w:type="dxa"/>
            <w:tcBorders>
              <w:top w:val="nil"/>
              <w:left w:val="nil"/>
              <w:bottom w:val="nil"/>
              <w:right w:val="nil"/>
            </w:tcBorders>
            <w:shd w:val="clear" w:color="000000" w:fill="63BE7B"/>
            <w:noWrap/>
            <w:vAlign w:val="bottom"/>
            <w:hideMark/>
          </w:tcPr>
          <w:p w14:paraId="7C5C0F95"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1</w:t>
            </w:r>
          </w:p>
        </w:tc>
        <w:tc>
          <w:tcPr>
            <w:tcW w:w="1380" w:type="dxa"/>
            <w:tcBorders>
              <w:top w:val="nil"/>
              <w:left w:val="nil"/>
              <w:bottom w:val="nil"/>
              <w:right w:val="nil"/>
            </w:tcBorders>
            <w:shd w:val="clear" w:color="auto" w:fill="auto"/>
            <w:noWrap/>
            <w:vAlign w:val="bottom"/>
            <w:hideMark/>
          </w:tcPr>
          <w:p w14:paraId="72CEBDE3" w14:textId="77777777" w:rsidR="00B02FEE" w:rsidRPr="00B02FEE" w:rsidRDefault="00B02FEE" w:rsidP="00620BBC">
            <w:pPr>
              <w:spacing w:after="120" w:line="240" w:lineRule="auto"/>
              <w:jc w:val="right"/>
              <w:rPr>
                <w:rFonts w:ascii="Aptos Narrow" w:eastAsia="Times New Roman" w:hAnsi="Aptos Narrow"/>
                <w:color w:val="000000"/>
                <w:lang w:eastAsia="en-NZ"/>
              </w:rPr>
            </w:pPr>
          </w:p>
        </w:tc>
      </w:tr>
      <w:tr w:rsidR="00B02FEE" w:rsidRPr="00B02FEE" w14:paraId="72E29226" w14:textId="77777777" w:rsidTr="00B02FEE">
        <w:trPr>
          <w:trHeight w:val="300"/>
        </w:trPr>
        <w:tc>
          <w:tcPr>
            <w:tcW w:w="1920" w:type="dxa"/>
            <w:tcBorders>
              <w:top w:val="nil"/>
              <w:left w:val="nil"/>
              <w:bottom w:val="single" w:sz="8" w:space="0" w:color="auto"/>
              <w:right w:val="nil"/>
            </w:tcBorders>
            <w:shd w:val="clear" w:color="auto" w:fill="auto"/>
            <w:noWrap/>
            <w:vAlign w:val="bottom"/>
            <w:hideMark/>
          </w:tcPr>
          <w:p w14:paraId="3E1E9156" w14:textId="77777777" w:rsidR="00B02FEE" w:rsidRPr="00B02FEE" w:rsidRDefault="00B02FEE" w:rsidP="00620BBC">
            <w:pPr>
              <w:spacing w:after="120" w:line="240" w:lineRule="auto"/>
              <w:rPr>
                <w:rFonts w:ascii="Aptos Narrow" w:eastAsia="Times New Roman" w:hAnsi="Aptos Narrow"/>
                <w:color w:val="000000"/>
                <w:lang w:eastAsia="en-NZ"/>
              </w:rPr>
            </w:pPr>
            <w:r w:rsidRPr="00B02FEE">
              <w:rPr>
                <w:rFonts w:ascii="Aptos Narrow" w:eastAsia="Times New Roman" w:hAnsi="Aptos Narrow"/>
                <w:color w:val="000000"/>
                <w:lang w:eastAsia="en-NZ"/>
              </w:rPr>
              <w:t>Rating (out of 5)</w:t>
            </w:r>
          </w:p>
        </w:tc>
        <w:tc>
          <w:tcPr>
            <w:tcW w:w="1600" w:type="dxa"/>
            <w:tcBorders>
              <w:top w:val="nil"/>
              <w:left w:val="nil"/>
              <w:bottom w:val="single" w:sz="8" w:space="0" w:color="auto"/>
              <w:right w:val="nil"/>
            </w:tcBorders>
            <w:shd w:val="clear" w:color="000000" w:fill="FA9B74"/>
            <w:noWrap/>
            <w:vAlign w:val="bottom"/>
            <w:hideMark/>
          </w:tcPr>
          <w:p w14:paraId="35BA587A"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-0.023</w:t>
            </w:r>
          </w:p>
        </w:tc>
        <w:tc>
          <w:tcPr>
            <w:tcW w:w="1660" w:type="dxa"/>
            <w:tcBorders>
              <w:top w:val="nil"/>
              <w:left w:val="nil"/>
              <w:bottom w:val="single" w:sz="8" w:space="0" w:color="auto"/>
              <w:right w:val="nil"/>
            </w:tcBorders>
            <w:shd w:val="clear" w:color="000000" w:fill="FDCD7E"/>
            <w:noWrap/>
            <w:vAlign w:val="bottom"/>
            <w:hideMark/>
          </w:tcPr>
          <w:p w14:paraId="48E10614"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-0.001</w:t>
            </w:r>
          </w:p>
        </w:tc>
        <w:tc>
          <w:tcPr>
            <w:tcW w:w="1680" w:type="dxa"/>
            <w:tcBorders>
              <w:top w:val="nil"/>
              <w:left w:val="nil"/>
              <w:bottom w:val="single" w:sz="8" w:space="0" w:color="auto"/>
              <w:right w:val="nil"/>
            </w:tcBorders>
            <w:shd w:val="clear" w:color="000000" w:fill="FFEB84"/>
            <w:noWrap/>
            <w:vAlign w:val="bottom"/>
            <w:hideMark/>
          </w:tcPr>
          <w:p w14:paraId="7BB30B39"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0.013</w:t>
            </w:r>
          </w:p>
        </w:tc>
        <w:tc>
          <w:tcPr>
            <w:tcW w:w="1440" w:type="dxa"/>
            <w:tcBorders>
              <w:top w:val="nil"/>
              <w:left w:val="nil"/>
              <w:bottom w:val="single" w:sz="8" w:space="0" w:color="auto"/>
              <w:right w:val="nil"/>
            </w:tcBorders>
            <w:shd w:val="clear" w:color="000000" w:fill="FDEB84"/>
            <w:noWrap/>
            <w:vAlign w:val="bottom"/>
            <w:hideMark/>
          </w:tcPr>
          <w:p w14:paraId="1EC2815F"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0.026</w:t>
            </w:r>
          </w:p>
        </w:tc>
        <w:tc>
          <w:tcPr>
            <w:tcW w:w="1380" w:type="dxa"/>
            <w:tcBorders>
              <w:top w:val="nil"/>
              <w:left w:val="nil"/>
              <w:bottom w:val="single" w:sz="8" w:space="0" w:color="auto"/>
              <w:right w:val="nil"/>
            </w:tcBorders>
            <w:shd w:val="clear" w:color="000000" w:fill="63BE7B"/>
            <w:noWrap/>
            <w:vAlign w:val="bottom"/>
            <w:hideMark/>
          </w:tcPr>
          <w:p w14:paraId="26E9D023" w14:textId="77777777" w:rsidR="00B02FEE" w:rsidRPr="00B02FEE" w:rsidRDefault="00B02FEE" w:rsidP="00620BBC">
            <w:pPr>
              <w:spacing w:after="120" w:line="240" w:lineRule="auto"/>
              <w:jc w:val="right"/>
              <w:rPr>
                <w:rFonts w:ascii="Aptos Narrow" w:eastAsia="Times New Roman" w:hAnsi="Aptos Narrow"/>
                <w:color w:val="000000"/>
                <w:lang w:eastAsia="en-NZ"/>
              </w:rPr>
            </w:pPr>
            <w:r w:rsidRPr="00B02FEE">
              <w:rPr>
                <w:rFonts w:ascii="Aptos Narrow" w:eastAsia="Times New Roman" w:hAnsi="Aptos Narrow"/>
                <w:color w:val="000000"/>
                <w:lang w:eastAsia="en-NZ"/>
              </w:rPr>
              <w:t>1</w:t>
            </w:r>
          </w:p>
        </w:tc>
      </w:tr>
    </w:tbl>
    <w:p w14:paraId="7AC6D3C6" w14:textId="77777777" w:rsidR="00E629CA" w:rsidRDefault="00E629CA" w:rsidP="00620BBC">
      <w:pPr>
        <w:spacing w:after="120" w:line="240" w:lineRule="auto"/>
      </w:pPr>
    </w:p>
    <w:p w14:paraId="313B035C" w14:textId="7AA88100" w:rsidR="00B02FEE" w:rsidRDefault="00D0417B" w:rsidP="00620BBC">
      <w:pPr>
        <w:spacing w:after="120" w:line="240" w:lineRule="auto"/>
      </w:pPr>
      <w:r w:rsidRPr="00D0417B">
        <w:t xml:space="preserve">This heatmap displays the pairwise Pearson correlation coefficients between five key course metrics: Duration (hours), </w:t>
      </w:r>
      <w:r>
        <w:t>e</w:t>
      </w:r>
      <w:r w:rsidRPr="00D0417B">
        <w:t xml:space="preserve">nrolled Students, </w:t>
      </w:r>
      <w:r>
        <w:t>c</w:t>
      </w:r>
      <w:r w:rsidRPr="00D0417B">
        <w:t xml:space="preserve">ompletion </w:t>
      </w:r>
      <w:r>
        <w:t>r</w:t>
      </w:r>
      <w:r w:rsidRPr="00D0417B">
        <w:t xml:space="preserve">ate (%), </w:t>
      </w:r>
      <w:r>
        <w:t>p</w:t>
      </w:r>
      <w:r w:rsidRPr="00D0417B">
        <w:t xml:space="preserve">rice ($), and </w:t>
      </w:r>
      <w:r>
        <w:t>r</w:t>
      </w:r>
      <w:r w:rsidRPr="00D0417B">
        <w:t>ating (out of 5). Correlation values range from –1 (indicating a strong negative relationship) to +1 (a strong positive relationship). In this matrix, most values are close to zero, indicating that there is little to no linear relationship between these variables.</w:t>
      </w:r>
    </w:p>
    <w:p w14:paraId="33159B2B" w14:textId="77777777" w:rsidR="00515F54" w:rsidRDefault="00515F54" w:rsidP="00620BBC">
      <w:pPr>
        <w:spacing w:after="120" w:line="240" w:lineRule="auto"/>
      </w:pPr>
      <w:r w:rsidRPr="00515F54">
        <w:rPr>
          <w:b/>
          <w:bCs/>
        </w:rPr>
        <w:t>Four key findings emerge:</w:t>
      </w:r>
      <w:r w:rsidRPr="00515F54">
        <w:t xml:space="preserve"> </w:t>
      </w:r>
    </w:p>
    <w:p w14:paraId="7F1203C7" w14:textId="1E1EE947" w:rsidR="00A009F4" w:rsidRPr="00A009F4" w:rsidRDefault="00A009F4" w:rsidP="00620BBC">
      <w:pPr>
        <w:spacing w:after="120" w:line="240" w:lineRule="auto"/>
      </w:pPr>
      <w:r w:rsidRPr="00A009F4">
        <w:rPr>
          <w:b/>
          <w:bCs/>
        </w:rPr>
        <w:t>Duration</w:t>
      </w:r>
      <w:r w:rsidRPr="00A009F4">
        <w:t xml:space="preserve"> has no strong correlation with enrolment, price, rating, or completion. Slight positive correlation with completion (+0.033) suggests longer courses may be completed slightly more often.</w:t>
      </w:r>
    </w:p>
    <w:p w14:paraId="7127EC0A" w14:textId="5468C7DE" w:rsidR="00A009F4" w:rsidRPr="00A009F4" w:rsidRDefault="00A009F4" w:rsidP="00620BBC">
      <w:pPr>
        <w:spacing w:after="120" w:line="240" w:lineRule="auto"/>
      </w:pPr>
      <w:r w:rsidRPr="00A009F4">
        <w:rPr>
          <w:b/>
          <w:bCs/>
        </w:rPr>
        <w:t>Enrolment</w:t>
      </w:r>
      <w:r w:rsidRPr="00A009F4">
        <w:t xml:space="preserve"> is weakly negatively correlated with completion (–0.038), hinting that larger courses may face engagement challenges. No meaningful link with rating.</w:t>
      </w:r>
    </w:p>
    <w:p w14:paraId="23973A7D" w14:textId="6267DB09" w:rsidR="00A009F4" w:rsidRPr="00A009F4" w:rsidRDefault="00A009F4" w:rsidP="00620BBC">
      <w:pPr>
        <w:spacing w:after="120" w:line="240" w:lineRule="auto"/>
      </w:pPr>
      <w:r w:rsidRPr="00A009F4">
        <w:rPr>
          <w:b/>
          <w:bCs/>
        </w:rPr>
        <w:t>Price</w:t>
      </w:r>
      <w:r w:rsidRPr="00A009F4">
        <w:t xml:space="preserve"> shows minimal influence on other metrics. Slight negative correlation with completion (–0.046) and a weak positive link to rating (+0.026).</w:t>
      </w:r>
    </w:p>
    <w:p w14:paraId="7BAB94D0" w14:textId="0661AEA7" w:rsidR="00A009F4" w:rsidRPr="00A009F4" w:rsidRDefault="00A009F4" w:rsidP="00620BBC">
      <w:pPr>
        <w:spacing w:after="120" w:line="240" w:lineRule="auto"/>
      </w:pPr>
      <w:r w:rsidRPr="00A009F4">
        <w:rPr>
          <w:b/>
          <w:bCs/>
        </w:rPr>
        <w:t>Rating</w:t>
      </w:r>
      <w:r w:rsidRPr="00A009F4">
        <w:t xml:space="preserve"> is slightly positively correlated with completion (+0.013), indicating that better-rated courses may see marginally higher completion rates.</w:t>
      </w:r>
    </w:p>
    <w:p w14:paraId="5270C119" w14:textId="31EC1F9A" w:rsidR="008A4C17" w:rsidRPr="00513B1B" w:rsidRDefault="00F302E4" w:rsidP="00620BBC">
      <w:pPr>
        <w:pStyle w:val="Heading2"/>
        <w:spacing w:before="0" w:after="120" w:line="240" w:lineRule="auto"/>
      </w:pPr>
      <w:bookmarkStart w:id="9" w:name="_Toc194084544"/>
      <w:r>
        <w:t xml:space="preserve">5.2 </w:t>
      </w:r>
      <w:r w:rsidR="008A4C17" w:rsidRPr="00513B1B">
        <w:t>Multiple regression</w:t>
      </w:r>
      <w:bookmarkEnd w:id="9"/>
    </w:p>
    <w:p w14:paraId="77E479FF" w14:textId="4C288673" w:rsidR="00513B1B" w:rsidRDefault="00AA026F" w:rsidP="00620BBC">
      <w:pPr>
        <w:spacing w:after="120" w:line="240" w:lineRule="auto"/>
      </w:pPr>
      <w:r w:rsidRPr="00AA026F">
        <w:t xml:space="preserve">To </w:t>
      </w:r>
      <w:r w:rsidR="00DF4758">
        <w:t xml:space="preserve">further </w:t>
      </w:r>
      <w:r w:rsidRPr="00AA026F">
        <w:t>explore how course characteristics influence enrolment, a multiple regression model was run with course enrolment as the dependent variable, and course price and duration (in hours) as the independent variables. The model was not statistically significant (</w:t>
      </w:r>
      <w:proofErr w:type="gramStart"/>
      <w:r w:rsidRPr="00AA026F">
        <w:t>F(</w:t>
      </w:r>
      <w:proofErr w:type="gramEnd"/>
      <w:r w:rsidRPr="00AA026F">
        <w:t xml:space="preserve">2, 2550) = 0.39, </w:t>
      </w:r>
      <w:r w:rsidRPr="00BF0E67">
        <w:rPr>
          <w:i/>
          <w:iCs/>
        </w:rPr>
        <w:t>p</w:t>
      </w:r>
      <w:r w:rsidRPr="00AA026F">
        <w:t xml:space="preserve"> = 0.68) and explained virtually none of the variance in enrolment (</w:t>
      </w:r>
      <w:r w:rsidRPr="00585ABF">
        <w:rPr>
          <w:i/>
          <w:iCs/>
        </w:rPr>
        <w:t>R²</w:t>
      </w:r>
      <w:r w:rsidRPr="00AA026F">
        <w:t xml:space="preserve"> = 0.0003). Both predictors showed no meaningful effect on enrolment. The coefficient for price was –0.81 (p = 0.46), and for duration it was 0.24 (</w:t>
      </w:r>
      <w:r w:rsidRPr="00BF0E67">
        <w:rPr>
          <w:i/>
          <w:iCs/>
        </w:rPr>
        <w:t>p</w:t>
      </w:r>
      <w:r w:rsidRPr="00AA026F">
        <w:t xml:space="preserve"> = 0.63). These results suggest that price and duration do not significantly influence enrolment decisions, and other factors such as course topic, platform, or marketing may have a stronger impact.</w:t>
      </w:r>
    </w:p>
    <w:p w14:paraId="49BACAF6" w14:textId="77777777" w:rsidR="00513B1B" w:rsidRDefault="00513B1B" w:rsidP="00620BBC">
      <w:pPr>
        <w:spacing w:after="120" w:line="240" w:lineRule="auto"/>
      </w:pPr>
      <w:r>
        <w:br w:type="page"/>
      </w:r>
    </w:p>
    <w:tbl>
      <w:tblPr>
        <w:tblW w:w="11316" w:type="dxa"/>
        <w:tblInd w:w="-1134" w:type="dxa"/>
        <w:tblLook w:val="04A0" w:firstRow="1" w:lastRow="0" w:firstColumn="1" w:lastColumn="0" w:noHBand="0" w:noVBand="1"/>
      </w:tblPr>
      <w:tblGrid>
        <w:gridCol w:w="1094"/>
        <w:gridCol w:w="76"/>
        <w:gridCol w:w="1176"/>
        <w:gridCol w:w="570"/>
        <w:gridCol w:w="729"/>
        <w:gridCol w:w="570"/>
        <w:gridCol w:w="729"/>
        <w:gridCol w:w="570"/>
        <w:gridCol w:w="729"/>
        <w:gridCol w:w="570"/>
        <w:gridCol w:w="729"/>
        <w:gridCol w:w="570"/>
        <w:gridCol w:w="729"/>
        <w:gridCol w:w="570"/>
        <w:gridCol w:w="729"/>
        <w:gridCol w:w="626"/>
        <w:gridCol w:w="550"/>
      </w:tblGrid>
      <w:tr w:rsidR="00600092" w:rsidRPr="00600092" w14:paraId="123D511C" w14:textId="77777777" w:rsidTr="00DB2F15">
        <w:trPr>
          <w:trHeight w:val="274"/>
        </w:trPr>
        <w:tc>
          <w:tcPr>
            <w:tcW w:w="1170" w:type="dxa"/>
            <w:gridSpan w:val="2"/>
            <w:tcBorders>
              <w:top w:val="nil"/>
              <w:left w:val="nil"/>
              <w:bottom w:val="nil"/>
              <w:right w:val="nil"/>
            </w:tcBorders>
            <w:shd w:val="clear" w:color="auto" w:fill="auto"/>
            <w:noWrap/>
            <w:vAlign w:val="bottom"/>
            <w:hideMark/>
          </w:tcPr>
          <w:p w14:paraId="216976AD"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lastRenderedPageBreak/>
              <w:t>SUMMARY OUTPUT</w:t>
            </w:r>
          </w:p>
        </w:tc>
        <w:tc>
          <w:tcPr>
            <w:tcW w:w="1176" w:type="dxa"/>
            <w:tcBorders>
              <w:top w:val="nil"/>
              <w:left w:val="nil"/>
              <w:bottom w:val="nil"/>
              <w:right w:val="nil"/>
            </w:tcBorders>
            <w:shd w:val="clear" w:color="auto" w:fill="auto"/>
            <w:noWrap/>
            <w:vAlign w:val="bottom"/>
            <w:hideMark/>
          </w:tcPr>
          <w:p w14:paraId="65FA84C4"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56C43CB3"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415995A4"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24CE7CA9"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20912F32"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7CCC55CC"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46045BA2"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303C3EAD"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63FD128A" w14:textId="77777777" w:rsidTr="00DB2F15">
        <w:trPr>
          <w:trHeight w:val="283"/>
        </w:trPr>
        <w:tc>
          <w:tcPr>
            <w:tcW w:w="1170" w:type="dxa"/>
            <w:gridSpan w:val="2"/>
            <w:tcBorders>
              <w:top w:val="nil"/>
              <w:left w:val="nil"/>
              <w:bottom w:val="nil"/>
              <w:right w:val="nil"/>
            </w:tcBorders>
            <w:shd w:val="clear" w:color="auto" w:fill="auto"/>
            <w:noWrap/>
            <w:vAlign w:val="bottom"/>
            <w:hideMark/>
          </w:tcPr>
          <w:p w14:paraId="555D65FA"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tcBorders>
              <w:top w:val="nil"/>
              <w:left w:val="nil"/>
              <w:bottom w:val="nil"/>
              <w:right w:val="nil"/>
            </w:tcBorders>
            <w:shd w:val="clear" w:color="auto" w:fill="auto"/>
            <w:noWrap/>
            <w:vAlign w:val="bottom"/>
            <w:hideMark/>
          </w:tcPr>
          <w:p w14:paraId="7B1E1A9B"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4CEFB700"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234C5D3C"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43A17F4B"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259D3870"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1B8AF283"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3C864C8E"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0733A993"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76C10D93" w14:textId="77777777" w:rsidTr="00DB2F15">
        <w:trPr>
          <w:gridAfter w:val="1"/>
          <w:wAfter w:w="550" w:type="dxa"/>
          <w:trHeight w:val="274"/>
        </w:trPr>
        <w:tc>
          <w:tcPr>
            <w:tcW w:w="1094" w:type="dxa"/>
            <w:tcBorders>
              <w:top w:val="single" w:sz="8" w:space="0" w:color="auto"/>
              <w:left w:val="nil"/>
              <w:bottom w:val="single" w:sz="4" w:space="0" w:color="auto"/>
              <w:right w:val="nil"/>
            </w:tcBorders>
            <w:shd w:val="clear" w:color="auto" w:fill="auto"/>
            <w:noWrap/>
            <w:vAlign w:val="bottom"/>
            <w:hideMark/>
          </w:tcPr>
          <w:p w14:paraId="7EBD236D"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Regression Statistics</w:t>
            </w:r>
          </w:p>
        </w:tc>
        <w:tc>
          <w:tcPr>
            <w:tcW w:w="1822" w:type="dxa"/>
            <w:gridSpan w:val="3"/>
            <w:tcBorders>
              <w:top w:val="nil"/>
              <w:left w:val="nil"/>
              <w:bottom w:val="nil"/>
              <w:right w:val="nil"/>
            </w:tcBorders>
            <w:shd w:val="clear" w:color="auto" w:fill="auto"/>
            <w:noWrap/>
            <w:vAlign w:val="bottom"/>
            <w:hideMark/>
          </w:tcPr>
          <w:p w14:paraId="390510FF"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1269DEFB"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29BFC95"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353598DA"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6435A9EE"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79C4EBEB"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355" w:type="dxa"/>
            <w:gridSpan w:val="2"/>
            <w:tcBorders>
              <w:top w:val="nil"/>
              <w:left w:val="nil"/>
              <w:bottom w:val="nil"/>
              <w:right w:val="nil"/>
            </w:tcBorders>
            <w:shd w:val="clear" w:color="auto" w:fill="auto"/>
            <w:noWrap/>
            <w:vAlign w:val="bottom"/>
            <w:hideMark/>
          </w:tcPr>
          <w:p w14:paraId="129B9C1F"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4630AA15" w14:textId="77777777" w:rsidTr="00DB2F15">
        <w:trPr>
          <w:trHeight w:val="274"/>
        </w:trPr>
        <w:tc>
          <w:tcPr>
            <w:tcW w:w="1170" w:type="dxa"/>
            <w:gridSpan w:val="2"/>
            <w:tcBorders>
              <w:top w:val="nil"/>
              <w:left w:val="nil"/>
              <w:bottom w:val="nil"/>
              <w:right w:val="nil"/>
            </w:tcBorders>
            <w:shd w:val="clear" w:color="auto" w:fill="auto"/>
            <w:noWrap/>
            <w:vAlign w:val="bottom"/>
            <w:hideMark/>
          </w:tcPr>
          <w:p w14:paraId="6732C912"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Multiple R</w:t>
            </w:r>
          </w:p>
        </w:tc>
        <w:tc>
          <w:tcPr>
            <w:tcW w:w="1176" w:type="dxa"/>
            <w:tcBorders>
              <w:top w:val="nil"/>
              <w:left w:val="nil"/>
              <w:bottom w:val="nil"/>
              <w:right w:val="nil"/>
            </w:tcBorders>
            <w:shd w:val="clear" w:color="auto" w:fill="auto"/>
            <w:noWrap/>
            <w:vAlign w:val="bottom"/>
            <w:hideMark/>
          </w:tcPr>
          <w:p w14:paraId="22589D5E"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0.017394475</w:t>
            </w:r>
          </w:p>
        </w:tc>
        <w:tc>
          <w:tcPr>
            <w:tcW w:w="1299" w:type="dxa"/>
            <w:gridSpan w:val="2"/>
            <w:tcBorders>
              <w:top w:val="nil"/>
              <w:left w:val="nil"/>
              <w:bottom w:val="nil"/>
              <w:right w:val="nil"/>
            </w:tcBorders>
            <w:shd w:val="clear" w:color="auto" w:fill="auto"/>
            <w:noWrap/>
            <w:vAlign w:val="bottom"/>
            <w:hideMark/>
          </w:tcPr>
          <w:p w14:paraId="3C99F338"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79147D89"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2220FAF0"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6647A0ED"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64F598D6"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3CF5236F"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235D1D10"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7F6E41D3" w14:textId="77777777" w:rsidTr="00DB2F15">
        <w:trPr>
          <w:trHeight w:val="274"/>
        </w:trPr>
        <w:tc>
          <w:tcPr>
            <w:tcW w:w="1170" w:type="dxa"/>
            <w:gridSpan w:val="2"/>
            <w:tcBorders>
              <w:top w:val="nil"/>
              <w:left w:val="nil"/>
              <w:bottom w:val="nil"/>
              <w:right w:val="nil"/>
            </w:tcBorders>
            <w:shd w:val="clear" w:color="auto" w:fill="auto"/>
            <w:noWrap/>
            <w:vAlign w:val="bottom"/>
            <w:hideMark/>
          </w:tcPr>
          <w:p w14:paraId="53F9B51B"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R Square</w:t>
            </w:r>
          </w:p>
        </w:tc>
        <w:tc>
          <w:tcPr>
            <w:tcW w:w="1176" w:type="dxa"/>
            <w:tcBorders>
              <w:top w:val="nil"/>
              <w:left w:val="nil"/>
              <w:bottom w:val="nil"/>
              <w:right w:val="nil"/>
            </w:tcBorders>
            <w:shd w:val="clear" w:color="auto" w:fill="auto"/>
            <w:noWrap/>
            <w:vAlign w:val="bottom"/>
            <w:hideMark/>
          </w:tcPr>
          <w:p w14:paraId="2DA59F9B"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0.000302568</w:t>
            </w:r>
          </w:p>
        </w:tc>
        <w:tc>
          <w:tcPr>
            <w:tcW w:w="1299" w:type="dxa"/>
            <w:gridSpan w:val="2"/>
            <w:tcBorders>
              <w:top w:val="nil"/>
              <w:left w:val="nil"/>
              <w:bottom w:val="nil"/>
              <w:right w:val="nil"/>
            </w:tcBorders>
            <w:shd w:val="clear" w:color="auto" w:fill="auto"/>
            <w:noWrap/>
            <w:vAlign w:val="bottom"/>
            <w:hideMark/>
          </w:tcPr>
          <w:p w14:paraId="45E8CC22"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EEC117E"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1167B9C9"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534F1189"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1B60937B"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63069FF0"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10329441"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0463444D" w14:textId="77777777" w:rsidTr="00DB2F15">
        <w:trPr>
          <w:trHeight w:val="274"/>
        </w:trPr>
        <w:tc>
          <w:tcPr>
            <w:tcW w:w="1170" w:type="dxa"/>
            <w:gridSpan w:val="2"/>
            <w:tcBorders>
              <w:top w:val="nil"/>
              <w:left w:val="nil"/>
              <w:bottom w:val="nil"/>
              <w:right w:val="nil"/>
            </w:tcBorders>
            <w:shd w:val="clear" w:color="auto" w:fill="auto"/>
            <w:noWrap/>
            <w:vAlign w:val="bottom"/>
            <w:hideMark/>
          </w:tcPr>
          <w:p w14:paraId="43E02F0B"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Adjusted R Square</w:t>
            </w:r>
          </w:p>
        </w:tc>
        <w:tc>
          <w:tcPr>
            <w:tcW w:w="1176" w:type="dxa"/>
            <w:tcBorders>
              <w:top w:val="nil"/>
              <w:left w:val="nil"/>
              <w:bottom w:val="nil"/>
              <w:right w:val="nil"/>
            </w:tcBorders>
            <w:shd w:val="clear" w:color="auto" w:fill="auto"/>
            <w:noWrap/>
            <w:vAlign w:val="bottom"/>
            <w:hideMark/>
          </w:tcPr>
          <w:p w14:paraId="0A798859"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-0.000481509</w:t>
            </w:r>
          </w:p>
        </w:tc>
        <w:tc>
          <w:tcPr>
            <w:tcW w:w="1299" w:type="dxa"/>
            <w:gridSpan w:val="2"/>
            <w:tcBorders>
              <w:top w:val="nil"/>
              <w:left w:val="nil"/>
              <w:bottom w:val="nil"/>
              <w:right w:val="nil"/>
            </w:tcBorders>
            <w:shd w:val="clear" w:color="auto" w:fill="auto"/>
            <w:noWrap/>
            <w:vAlign w:val="bottom"/>
            <w:hideMark/>
          </w:tcPr>
          <w:p w14:paraId="73707F84"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3DD8EC34"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45EA6D78"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4D76619F"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518BE01C"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7E2179B8"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65478918"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07CD9AF6" w14:textId="77777777" w:rsidTr="00DB2F15">
        <w:trPr>
          <w:trHeight w:val="274"/>
        </w:trPr>
        <w:tc>
          <w:tcPr>
            <w:tcW w:w="1170" w:type="dxa"/>
            <w:gridSpan w:val="2"/>
            <w:tcBorders>
              <w:top w:val="nil"/>
              <w:left w:val="nil"/>
              <w:bottom w:val="nil"/>
              <w:right w:val="nil"/>
            </w:tcBorders>
            <w:shd w:val="clear" w:color="auto" w:fill="auto"/>
            <w:noWrap/>
            <w:vAlign w:val="bottom"/>
            <w:hideMark/>
          </w:tcPr>
          <w:p w14:paraId="6F3FE4A2"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Standard Error</w:t>
            </w:r>
          </w:p>
        </w:tc>
        <w:tc>
          <w:tcPr>
            <w:tcW w:w="1176" w:type="dxa"/>
            <w:tcBorders>
              <w:top w:val="nil"/>
              <w:left w:val="nil"/>
              <w:bottom w:val="nil"/>
              <w:right w:val="nil"/>
            </w:tcBorders>
            <w:shd w:val="clear" w:color="auto" w:fill="auto"/>
            <w:noWrap/>
            <w:vAlign w:val="bottom"/>
            <w:hideMark/>
          </w:tcPr>
          <w:p w14:paraId="01331091"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1426.15887</w:t>
            </w:r>
          </w:p>
        </w:tc>
        <w:tc>
          <w:tcPr>
            <w:tcW w:w="1299" w:type="dxa"/>
            <w:gridSpan w:val="2"/>
            <w:tcBorders>
              <w:top w:val="nil"/>
              <w:left w:val="nil"/>
              <w:bottom w:val="nil"/>
              <w:right w:val="nil"/>
            </w:tcBorders>
            <w:shd w:val="clear" w:color="auto" w:fill="auto"/>
            <w:noWrap/>
            <w:vAlign w:val="bottom"/>
            <w:hideMark/>
          </w:tcPr>
          <w:p w14:paraId="1F0F4BF1"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28E1180C"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5E644BE0"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48BFCBD2"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0FB079E"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395FE116"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2E4AD4AC"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0BCCDB7C" w14:textId="77777777" w:rsidTr="00DB2F15">
        <w:trPr>
          <w:trHeight w:val="283"/>
        </w:trPr>
        <w:tc>
          <w:tcPr>
            <w:tcW w:w="1170" w:type="dxa"/>
            <w:gridSpan w:val="2"/>
            <w:tcBorders>
              <w:top w:val="nil"/>
              <w:left w:val="nil"/>
              <w:bottom w:val="single" w:sz="8" w:space="0" w:color="auto"/>
              <w:right w:val="nil"/>
            </w:tcBorders>
            <w:shd w:val="clear" w:color="auto" w:fill="auto"/>
            <w:noWrap/>
            <w:vAlign w:val="bottom"/>
            <w:hideMark/>
          </w:tcPr>
          <w:p w14:paraId="75BE85FD"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Observations</w:t>
            </w:r>
          </w:p>
        </w:tc>
        <w:tc>
          <w:tcPr>
            <w:tcW w:w="1176" w:type="dxa"/>
            <w:tcBorders>
              <w:top w:val="nil"/>
              <w:left w:val="nil"/>
              <w:bottom w:val="single" w:sz="8" w:space="0" w:color="auto"/>
              <w:right w:val="nil"/>
            </w:tcBorders>
            <w:shd w:val="clear" w:color="auto" w:fill="auto"/>
            <w:noWrap/>
            <w:vAlign w:val="bottom"/>
            <w:hideMark/>
          </w:tcPr>
          <w:p w14:paraId="292724B6"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2553</w:t>
            </w:r>
          </w:p>
        </w:tc>
        <w:tc>
          <w:tcPr>
            <w:tcW w:w="1299" w:type="dxa"/>
            <w:gridSpan w:val="2"/>
            <w:tcBorders>
              <w:top w:val="nil"/>
              <w:left w:val="nil"/>
              <w:bottom w:val="nil"/>
              <w:right w:val="nil"/>
            </w:tcBorders>
            <w:shd w:val="clear" w:color="auto" w:fill="auto"/>
            <w:noWrap/>
            <w:vAlign w:val="bottom"/>
            <w:hideMark/>
          </w:tcPr>
          <w:p w14:paraId="5DB81FE0"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7BABB255"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4E55E8B"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6E68B11E"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415FB5B3"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FCA59CA"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60E351FA"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2DEEEBAC" w14:textId="77777777" w:rsidTr="00DB2F15">
        <w:trPr>
          <w:trHeight w:val="274"/>
        </w:trPr>
        <w:tc>
          <w:tcPr>
            <w:tcW w:w="1170" w:type="dxa"/>
            <w:gridSpan w:val="2"/>
            <w:tcBorders>
              <w:top w:val="nil"/>
              <w:left w:val="nil"/>
              <w:bottom w:val="nil"/>
              <w:right w:val="nil"/>
            </w:tcBorders>
            <w:shd w:val="clear" w:color="auto" w:fill="auto"/>
            <w:noWrap/>
            <w:vAlign w:val="bottom"/>
            <w:hideMark/>
          </w:tcPr>
          <w:p w14:paraId="4D0CDA98"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tcBorders>
              <w:top w:val="nil"/>
              <w:left w:val="nil"/>
              <w:bottom w:val="nil"/>
              <w:right w:val="nil"/>
            </w:tcBorders>
            <w:shd w:val="clear" w:color="auto" w:fill="auto"/>
            <w:noWrap/>
            <w:vAlign w:val="bottom"/>
            <w:hideMark/>
          </w:tcPr>
          <w:p w14:paraId="012ADC0E"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6448A89A"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5278F988"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609B6B1"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3DB26770"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03703F1"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599ED644"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3D8EE4DE"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2D43C69C" w14:textId="77777777" w:rsidTr="00DB2F15">
        <w:trPr>
          <w:trHeight w:val="283"/>
        </w:trPr>
        <w:tc>
          <w:tcPr>
            <w:tcW w:w="1170" w:type="dxa"/>
            <w:gridSpan w:val="2"/>
            <w:tcBorders>
              <w:top w:val="nil"/>
              <w:left w:val="nil"/>
              <w:bottom w:val="nil"/>
              <w:right w:val="nil"/>
            </w:tcBorders>
            <w:shd w:val="clear" w:color="auto" w:fill="auto"/>
            <w:noWrap/>
            <w:vAlign w:val="bottom"/>
            <w:hideMark/>
          </w:tcPr>
          <w:p w14:paraId="41D3E2DA"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ANOVA</w:t>
            </w:r>
          </w:p>
        </w:tc>
        <w:tc>
          <w:tcPr>
            <w:tcW w:w="1176" w:type="dxa"/>
            <w:tcBorders>
              <w:top w:val="nil"/>
              <w:left w:val="nil"/>
              <w:bottom w:val="nil"/>
              <w:right w:val="nil"/>
            </w:tcBorders>
            <w:shd w:val="clear" w:color="auto" w:fill="auto"/>
            <w:noWrap/>
            <w:vAlign w:val="bottom"/>
            <w:hideMark/>
          </w:tcPr>
          <w:p w14:paraId="78B295F7"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76301D96"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2EEC033F"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2F455630"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12084229"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61DEE6C0"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3F473502"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29C95EBA"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607E82DE" w14:textId="77777777" w:rsidTr="00DB2F15">
        <w:trPr>
          <w:trHeight w:val="274"/>
        </w:trPr>
        <w:tc>
          <w:tcPr>
            <w:tcW w:w="1170" w:type="dxa"/>
            <w:gridSpan w:val="2"/>
            <w:tcBorders>
              <w:top w:val="single" w:sz="8" w:space="0" w:color="auto"/>
              <w:left w:val="nil"/>
              <w:bottom w:val="single" w:sz="4" w:space="0" w:color="auto"/>
              <w:right w:val="nil"/>
            </w:tcBorders>
            <w:shd w:val="clear" w:color="auto" w:fill="auto"/>
            <w:noWrap/>
            <w:vAlign w:val="bottom"/>
            <w:hideMark/>
          </w:tcPr>
          <w:p w14:paraId="1C271BA0"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 </w:t>
            </w:r>
          </w:p>
        </w:tc>
        <w:tc>
          <w:tcPr>
            <w:tcW w:w="1176" w:type="dxa"/>
            <w:tcBorders>
              <w:top w:val="single" w:sz="8" w:space="0" w:color="auto"/>
              <w:left w:val="nil"/>
              <w:bottom w:val="single" w:sz="4" w:space="0" w:color="auto"/>
              <w:right w:val="nil"/>
            </w:tcBorders>
            <w:shd w:val="clear" w:color="auto" w:fill="auto"/>
            <w:noWrap/>
            <w:vAlign w:val="bottom"/>
            <w:hideMark/>
          </w:tcPr>
          <w:p w14:paraId="235B9182"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proofErr w:type="spellStart"/>
            <w:r w:rsidRPr="005A392D">
              <w:rPr>
                <w:rFonts w:ascii="Aptos Narrow" w:eastAsia="Times New Roman" w:hAnsi="Aptos Narrow"/>
                <w:i/>
                <w:iCs/>
                <w:color w:val="000000"/>
                <w:sz w:val="18"/>
                <w:szCs w:val="18"/>
                <w:lang w:eastAsia="en-NZ"/>
              </w:rPr>
              <w:t>df</w:t>
            </w:r>
            <w:proofErr w:type="spellEnd"/>
          </w:p>
        </w:tc>
        <w:tc>
          <w:tcPr>
            <w:tcW w:w="1299" w:type="dxa"/>
            <w:gridSpan w:val="2"/>
            <w:tcBorders>
              <w:top w:val="single" w:sz="8" w:space="0" w:color="auto"/>
              <w:left w:val="nil"/>
              <w:bottom w:val="single" w:sz="4" w:space="0" w:color="auto"/>
              <w:right w:val="nil"/>
            </w:tcBorders>
            <w:shd w:val="clear" w:color="auto" w:fill="auto"/>
            <w:noWrap/>
            <w:vAlign w:val="bottom"/>
            <w:hideMark/>
          </w:tcPr>
          <w:p w14:paraId="0AE9ED8A"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SS</w:t>
            </w:r>
          </w:p>
        </w:tc>
        <w:tc>
          <w:tcPr>
            <w:tcW w:w="1299" w:type="dxa"/>
            <w:gridSpan w:val="2"/>
            <w:tcBorders>
              <w:top w:val="single" w:sz="8" w:space="0" w:color="auto"/>
              <w:left w:val="nil"/>
              <w:bottom w:val="single" w:sz="4" w:space="0" w:color="auto"/>
              <w:right w:val="nil"/>
            </w:tcBorders>
            <w:shd w:val="clear" w:color="auto" w:fill="auto"/>
            <w:noWrap/>
            <w:vAlign w:val="bottom"/>
            <w:hideMark/>
          </w:tcPr>
          <w:p w14:paraId="4B4A7B48"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MS</w:t>
            </w:r>
          </w:p>
        </w:tc>
        <w:tc>
          <w:tcPr>
            <w:tcW w:w="1299" w:type="dxa"/>
            <w:gridSpan w:val="2"/>
            <w:tcBorders>
              <w:top w:val="single" w:sz="8" w:space="0" w:color="auto"/>
              <w:left w:val="nil"/>
              <w:bottom w:val="single" w:sz="4" w:space="0" w:color="auto"/>
              <w:right w:val="nil"/>
            </w:tcBorders>
            <w:shd w:val="clear" w:color="auto" w:fill="auto"/>
            <w:noWrap/>
            <w:vAlign w:val="bottom"/>
            <w:hideMark/>
          </w:tcPr>
          <w:p w14:paraId="0368632F"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F</w:t>
            </w:r>
          </w:p>
        </w:tc>
        <w:tc>
          <w:tcPr>
            <w:tcW w:w="1299" w:type="dxa"/>
            <w:gridSpan w:val="2"/>
            <w:tcBorders>
              <w:top w:val="single" w:sz="8" w:space="0" w:color="auto"/>
              <w:left w:val="nil"/>
              <w:bottom w:val="single" w:sz="4" w:space="0" w:color="auto"/>
              <w:right w:val="nil"/>
            </w:tcBorders>
            <w:shd w:val="clear" w:color="auto" w:fill="auto"/>
            <w:noWrap/>
            <w:vAlign w:val="bottom"/>
            <w:hideMark/>
          </w:tcPr>
          <w:p w14:paraId="56B1B660"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Significance F</w:t>
            </w:r>
          </w:p>
        </w:tc>
        <w:tc>
          <w:tcPr>
            <w:tcW w:w="1299" w:type="dxa"/>
            <w:gridSpan w:val="2"/>
            <w:tcBorders>
              <w:top w:val="nil"/>
              <w:left w:val="nil"/>
              <w:bottom w:val="nil"/>
              <w:right w:val="nil"/>
            </w:tcBorders>
            <w:shd w:val="clear" w:color="auto" w:fill="auto"/>
            <w:noWrap/>
            <w:vAlign w:val="bottom"/>
            <w:hideMark/>
          </w:tcPr>
          <w:p w14:paraId="7AAE5278"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C9EBE62"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40FA6196"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12A38BE0" w14:textId="77777777" w:rsidTr="00DB2F15">
        <w:trPr>
          <w:trHeight w:val="274"/>
        </w:trPr>
        <w:tc>
          <w:tcPr>
            <w:tcW w:w="1170" w:type="dxa"/>
            <w:gridSpan w:val="2"/>
            <w:tcBorders>
              <w:top w:val="nil"/>
              <w:left w:val="nil"/>
              <w:bottom w:val="nil"/>
              <w:right w:val="nil"/>
            </w:tcBorders>
            <w:shd w:val="clear" w:color="auto" w:fill="auto"/>
            <w:noWrap/>
            <w:vAlign w:val="bottom"/>
            <w:hideMark/>
          </w:tcPr>
          <w:p w14:paraId="706F7482"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Regression</w:t>
            </w:r>
          </w:p>
        </w:tc>
        <w:tc>
          <w:tcPr>
            <w:tcW w:w="1176" w:type="dxa"/>
            <w:tcBorders>
              <w:top w:val="nil"/>
              <w:left w:val="nil"/>
              <w:bottom w:val="nil"/>
              <w:right w:val="nil"/>
            </w:tcBorders>
            <w:shd w:val="clear" w:color="auto" w:fill="auto"/>
            <w:noWrap/>
            <w:vAlign w:val="bottom"/>
            <w:hideMark/>
          </w:tcPr>
          <w:p w14:paraId="7ED594B6"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w:t>
            </w:r>
          </w:p>
        </w:tc>
        <w:tc>
          <w:tcPr>
            <w:tcW w:w="1299" w:type="dxa"/>
            <w:gridSpan w:val="2"/>
            <w:tcBorders>
              <w:top w:val="nil"/>
              <w:left w:val="nil"/>
              <w:bottom w:val="nil"/>
              <w:right w:val="nil"/>
            </w:tcBorders>
            <w:shd w:val="clear" w:color="auto" w:fill="auto"/>
            <w:noWrap/>
            <w:vAlign w:val="bottom"/>
            <w:hideMark/>
          </w:tcPr>
          <w:p w14:paraId="62B70320"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1569748.47</w:t>
            </w:r>
          </w:p>
        </w:tc>
        <w:tc>
          <w:tcPr>
            <w:tcW w:w="1299" w:type="dxa"/>
            <w:gridSpan w:val="2"/>
            <w:tcBorders>
              <w:top w:val="nil"/>
              <w:left w:val="nil"/>
              <w:bottom w:val="nil"/>
              <w:right w:val="nil"/>
            </w:tcBorders>
            <w:shd w:val="clear" w:color="auto" w:fill="auto"/>
            <w:noWrap/>
            <w:vAlign w:val="bottom"/>
            <w:hideMark/>
          </w:tcPr>
          <w:p w14:paraId="21FFC9F4"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784874.2352</w:t>
            </w:r>
          </w:p>
        </w:tc>
        <w:tc>
          <w:tcPr>
            <w:tcW w:w="1299" w:type="dxa"/>
            <w:gridSpan w:val="2"/>
            <w:tcBorders>
              <w:top w:val="nil"/>
              <w:left w:val="nil"/>
              <w:bottom w:val="nil"/>
              <w:right w:val="nil"/>
            </w:tcBorders>
            <w:shd w:val="clear" w:color="auto" w:fill="auto"/>
            <w:noWrap/>
            <w:vAlign w:val="bottom"/>
            <w:hideMark/>
          </w:tcPr>
          <w:p w14:paraId="6CF35B9F"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0.385890652</w:t>
            </w:r>
          </w:p>
        </w:tc>
        <w:tc>
          <w:tcPr>
            <w:tcW w:w="1299" w:type="dxa"/>
            <w:gridSpan w:val="2"/>
            <w:tcBorders>
              <w:top w:val="nil"/>
              <w:left w:val="nil"/>
              <w:bottom w:val="nil"/>
              <w:right w:val="nil"/>
            </w:tcBorders>
            <w:shd w:val="clear" w:color="auto" w:fill="auto"/>
            <w:noWrap/>
            <w:vAlign w:val="bottom"/>
            <w:hideMark/>
          </w:tcPr>
          <w:p w14:paraId="4F0ED5A0"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0.679884555</w:t>
            </w:r>
          </w:p>
        </w:tc>
        <w:tc>
          <w:tcPr>
            <w:tcW w:w="1299" w:type="dxa"/>
            <w:gridSpan w:val="2"/>
            <w:tcBorders>
              <w:top w:val="nil"/>
              <w:left w:val="nil"/>
              <w:bottom w:val="nil"/>
              <w:right w:val="nil"/>
            </w:tcBorders>
            <w:shd w:val="clear" w:color="auto" w:fill="auto"/>
            <w:noWrap/>
            <w:vAlign w:val="bottom"/>
            <w:hideMark/>
          </w:tcPr>
          <w:p w14:paraId="07264680"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626B5B23"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4B944839"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618A533A" w14:textId="77777777" w:rsidTr="00DB2F15">
        <w:trPr>
          <w:trHeight w:val="274"/>
        </w:trPr>
        <w:tc>
          <w:tcPr>
            <w:tcW w:w="1170" w:type="dxa"/>
            <w:gridSpan w:val="2"/>
            <w:tcBorders>
              <w:top w:val="nil"/>
              <w:left w:val="nil"/>
              <w:bottom w:val="nil"/>
              <w:right w:val="nil"/>
            </w:tcBorders>
            <w:shd w:val="clear" w:color="auto" w:fill="auto"/>
            <w:noWrap/>
            <w:vAlign w:val="bottom"/>
            <w:hideMark/>
          </w:tcPr>
          <w:p w14:paraId="2739C9B2"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Residual</w:t>
            </w:r>
          </w:p>
        </w:tc>
        <w:tc>
          <w:tcPr>
            <w:tcW w:w="1176" w:type="dxa"/>
            <w:tcBorders>
              <w:top w:val="nil"/>
              <w:left w:val="nil"/>
              <w:bottom w:val="nil"/>
              <w:right w:val="nil"/>
            </w:tcBorders>
            <w:shd w:val="clear" w:color="auto" w:fill="auto"/>
            <w:noWrap/>
            <w:vAlign w:val="bottom"/>
            <w:hideMark/>
          </w:tcPr>
          <w:p w14:paraId="6EFB89C7"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2550</w:t>
            </w:r>
          </w:p>
        </w:tc>
        <w:tc>
          <w:tcPr>
            <w:tcW w:w="1299" w:type="dxa"/>
            <w:gridSpan w:val="2"/>
            <w:tcBorders>
              <w:top w:val="nil"/>
              <w:left w:val="nil"/>
              <w:bottom w:val="nil"/>
              <w:right w:val="nil"/>
            </w:tcBorders>
            <w:shd w:val="clear" w:color="auto" w:fill="auto"/>
            <w:noWrap/>
            <w:vAlign w:val="bottom"/>
            <w:hideMark/>
          </w:tcPr>
          <w:p w14:paraId="42E18883"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5186519263</w:t>
            </w:r>
          </w:p>
        </w:tc>
        <w:tc>
          <w:tcPr>
            <w:tcW w:w="1299" w:type="dxa"/>
            <w:gridSpan w:val="2"/>
            <w:tcBorders>
              <w:top w:val="nil"/>
              <w:left w:val="nil"/>
              <w:bottom w:val="nil"/>
              <w:right w:val="nil"/>
            </w:tcBorders>
            <w:shd w:val="clear" w:color="auto" w:fill="auto"/>
            <w:noWrap/>
            <w:vAlign w:val="bottom"/>
            <w:hideMark/>
          </w:tcPr>
          <w:p w14:paraId="613ECEBF"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2033929.123</w:t>
            </w:r>
          </w:p>
        </w:tc>
        <w:tc>
          <w:tcPr>
            <w:tcW w:w="1299" w:type="dxa"/>
            <w:gridSpan w:val="2"/>
            <w:tcBorders>
              <w:top w:val="nil"/>
              <w:left w:val="nil"/>
              <w:bottom w:val="nil"/>
              <w:right w:val="nil"/>
            </w:tcBorders>
            <w:shd w:val="clear" w:color="auto" w:fill="auto"/>
            <w:noWrap/>
            <w:vAlign w:val="bottom"/>
            <w:hideMark/>
          </w:tcPr>
          <w:p w14:paraId="418E6854"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F452A6C"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6B7924C8"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21850BA9"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081D27BE"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6900DD0F" w14:textId="77777777" w:rsidTr="00DB2F15">
        <w:trPr>
          <w:trHeight w:val="283"/>
        </w:trPr>
        <w:tc>
          <w:tcPr>
            <w:tcW w:w="1170" w:type="dxa"/>
            <w:gridSpan w:val="2"/>
            <w:tcBorders>
              <w:top w:val="nil"/>
              <w:left w:val="nil"/>
              <w:bottom w:val="single" w:sz="8" w:space="0" w:color="auto"/>
              <w:right w:val="nil"/>
            </w:tcBorders>
            <w:shd w:val="clear" w:color="auto" w:fill="auto"/>
            <w:noWrap/>
            <w:vAlign w:val="bottom"/>
            <w:hideMark/>
          </w:tcPr>
          <w:p w14:paraId="12A7C28C"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Total</w:t>
            </w:r>
          </w:p>
        </w:tc>
        <w:tc>
          <w:tcPr>
            <w:tcW w:w="1176" w:type="dxa"/>
            <w:tcBorders>
              <w:top w:val="nil"/>
              <w:left w:val="nil"/>
              <w:bottom w:val="single" w:sz="8" w:space="0" w:color="auto"/>
              <w:right w:val="nil"/>
            </w:tcBorders>
            <w:shd w:val="clear" w:color="auto" w:fill="auto"/>
            <w:noWrap/>
            <w:vAlign w:val="bottom"/>
            <w:hideMark/>
          </w:tcPr>
          <w:p w14:paraId="48DF2C9B"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2552</w:t>
            </w:r>
          </w:p>
        </w:tc>
        <w:tc>
          <w:tcPr>
            <w:tcW w:w="1299" w:type="dxa"/>
            <w:gridSpan w:val="2"/>
            <w:tcBorders>
              <w:top w:val="nil"/>
              <w:left w:val="nil"/>
              <w:bottom w:val="single" w:sz="8" w:space="0" w:color="auto"/>
              <w:right w:val="nil"/>
            </w:tcBorders>
            <w:shd w:val="clear" w:color="auto" w:fill="auto"/>
            <w:noWrap/>
            <w:vAlign w:val="bottom"/>
            <w:hideMark/>
          </w:tcPr>
          <w:p w14:paraId="34BF158B"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5188089012</w:t>
            </w:r>
          </w:p>
        </w:tc>
        <w:tc>
          <w:tcPr>
            <w:tcW w:w="1299" w:type="dxa"/>
            <w:gridSpan w:val="2"/>
            <w:tcBorders>
              <w:top w:val="nil"/>
              <w:left w:val="nil"/>
              <w:bottom w:val="single" w:sz="8" w:space="0" w:color="auto"/>
              <w:right w:val="nil"/>
            </w:tcBorders>
            <w:shd w:val="clear" w:color="auto" w:fill="auto"/>
            <w:noWrap/>
            <w:vAlign w:val="bottom"/>
            <w:hideMark/>
          </w:tcPr>
          <w:p w14:paraId="21AA4A2B"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 </w:t>
            </w:r>
          </w:p>
        </w:tc>
        <w:tc>
          <w:tcPr>
            <w:tcW w:w="1299" w:type="dxa"/>
            <w:gridSpan w:val="2"/>
            <w:tcBorders>
              <w:top w:val="nil"/>
              <w:left w:val="nil"/>
              <w:bottom w:val="single" w:sz="8" w:space="0" w:color="auto"/>
              <w:right w:val="nil"/>
            </w:tcBorders>
            <w:shd w:val="clear" w:color="auto" w:fill="auto"/>
            <w:noWrap/>
            <w:vAlign w:val="bottom"/>
            <w:hideMark/>
          </w:tcPr>
          <w:p w14:paraId="1CEC10D7"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 </w:t>
            </w:r>
          </w:p>
        </w:tc>
        <w:tc>
          <w:tcPr>
            <w:tcW w:w="1299" w:type="dxa"/>
            <w:gridSpan w:val="2"/>
            <w:tcBorders>
              <w:top w:val="nil"/>
              <w:left w:val="nil"/>
              <w:bottom w:val="single" w:sz="8" w:space="0" w:color="auto"/>
              <w:right w:val="nil"/>
            </w:tcBorders>
            <w:shd w:val="clear" w:color="auto" w:fill="auto"/>
            <w:noWrap/>
            <w:vAlign w:val="bottom"/>
            <w:hideMark/>
          </w:tcPr>
          <w:p w14:paraId="274ECAF1"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 </w:t>
            </w:r>
          </w:p>
        </w:tc>
        <w:tc>
          <w:tcPr>
            <w:tcW w:w="1299" w:type="dxa"/>
            <w:gridSpan w:val="2"/>
            <w:tcBorders>
              <w:top w:val="nil"/>
              <w:left w:val="nil"/>
              <w:bottom w:val="nil"/>
              <w:right w:val="nil"/>
            </w:tcBorders>
            <w:shd w:val="clear" w:color="auto" w:fill="auto"/>
            <w:noWrap/>
            <w:vAlign w:val="bottom"/>
            <w:hideMark/>
          </w:tcPr>
          <w:p w14:paraId="14CC5A4B"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7EB0A172"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592E8714"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7B40A01D" w14:textId="77777777" w:rsidTr="00DB2F15">
        <w:trPr>
          <w:trHeight w:val="283"/>
        </w:trPr>
        <w:tc>
          <w:tcPr>
            <w:tcW w:w="1170" w:type="dxa"/>
            <w:gridSpan w:val="2"/>
            <w:tcBorders>
              <w:top w:val="nil"/>
              <w:left w:val="nil"/>
              <w:bottom w:val="nil"/>
              <w:right w:val="nil"/>
            </w:tcBorders>
            <w:shd w:val="clear" w:color="auto" w:fill="auto"/>
            <w:noWrap/>
            <w:vAlign w:val="bottom"/>
            <w:hideMark/>
          </w:tcPr>
          <w:p w14:paraId="612D7DA3"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tcBorders>
              <w:top w:val="nil"/>
              <w:left w:val="nil"/>
              <w:bottom w:val="nil"/>
              <w:right w:val="nil"/>
            </w:tcBorders>
            <w:shd w:val="clear" w:color="auto" w:fill="auto"/>
            <w:noWrap/>
            <w:vAlign w:val="bottom"/>
            <w:hideMark/>
          </w:tcPr>
          <w:p w14:paraId="2939B35A"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25A25512"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5FA6510E"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A8064CD"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7AA7B05C"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0E25B9DA"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299" w:type="dxa"/>
            <w:gridSpan w:val="2"/>
            <w:tcBorders>
              <w:top w:val="nil"/>
              <w:left w:val="nil"/>
              <w:bottom w:val="nil"/>
              <w:right w:val="nil"/>
            </w:tcBorders>
            <w:shd w:val="clear" w:color="auto" w:fill="auto"/>
            <w:noWrap/>
            <w:vAlign w:val="bottom"/>
            <w:hideMark/>
          </w:tcPr>
          <w:p w14:paraId="5857A08F"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c>
          <w:tcPr>
            <w:tcW w:w="1176" w:type="dxa"/>
            <w:gridSpan w:val="2"/>
            <w:tcBorders>
              <w:top w:val="nil"/>
              <w:left w:val="nil"/>
              <w:bottom w:val="nil"/>
              <w:right w:val="nil"/>
            </w:tcBorders>
            <w:shd w:val="clear" w:color="auto" w:fill="auto"/>
            <w:noWrap/>
            <w:vAlign w:val="bottom"/>
            <w:hideMark/>
          </w:tcPr>
          <w:p w14:paraId="34B768EA" w14:textId="77777777" w:rsidR="005A392D" w:rsidRPr="005A392D" w:rsidRDefault="005A392D" w:rsidP="00620BBC">
            <w:pPr>
              <w:spacing w:after="120" w:line="240" w:lineRule="auto"/>
              <w:rPr>
                <w:rFonts w:ascii="Times New Roman" w:eastAsia="Times New Roman" w:hAnsi="Times New Roman"/>
                <w:sz w:val="18"/>
                <w:szCs w:val="18"/>
                <w:lang w:eastAsia="en-NZ"/>
              </w:rPr>
            </w:pPr>
          </w:p>
        </w:tc>
      </w:tr>
      <w:tr w:rsidR="00600092" w:rsidRPr="00600092" w14:paraId="2D543999" w14:textId="77777777" w:rsidTr="00DB2F15">
        <w:trPr>
          <w:trHeight w:val="274"/>
        </w:trPr>
        <w:tc>
          <w:tcPr>
            <w:tcW w:w="1170" w:type="dxa"/>
            <w:gridSpan w:val="2"/>
            <w:tcBorders>
              <w:top w:val="single" w:sz="8" w:space="0" w:color="auto"/>
              <w:left w:val="nil"/>
              <w:bottom w:val="single" w:sz="4" w:space="0" w:color="auto"/>
              <w:right w:val="nil"/>
            </w:tcBorders>
            <w:shd w:val="clear" w:color="auto" w:fill="auto"/>
            <w:noWrap/>
            <w:vAlign w:val="bottom"/>
            <w:hideMark/>
          </w:tcPr>
          <w:p w14:paraId="794B60D5"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 </w:t>
            </w:r>
          </w:p>
        </w:tc>
        <w:tc>
          <w:tcPr>
            <w:tcW w:w="1176" w:type="dxa"/>
            <w:tcBorders>
              <w:top w:val="single" w:sz="8" w:space="0" w:color="auto"/>
              <w:left w:val="nil"/>
              <w:bottom w:val="single" w:sz="4" w:space="0" w:color="auto"/>
              <w:right w:val="nil"/>
            </w:tcBorders>
            <w:shd w:val="clear" w:color="auto" w:fill="auto"/>
            <w:noWrap/>
            <w:vAlign w:val="bottom"/>
            <w:hideMark/>
          </w:tcPr>
          <w:p w14:paraId="5BCEC596"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Coefficients</w:t>
            </w:r>
          </w:p>
        </w:tc>
        <w:tc>
          <w:tcPr>
            <w:tcW w:w="1299" w:type="dxa"/>
            <w:gridSpan w:val="2"/>
            <w:tcBorders>
              <w:top w:val="single" w:sz="8" w:space="0" w:color="auto"/>
              <w:left w:val="nil"/>
              <w:bottom w:val="single" w:sz="4" w:space="0" w:color="auto"/>
              <w:right w:val="nil"/>
            </w:tcBorders>
            <w:shd w:val="clear" w:color="auto" w:fill="auto"/>
            <w:noWrap/>
            <w:vAlign w:val="bottom"/>
            <w:hideMark/>
          </w:tcPr>
          <w:p w14:paraId="267EEF39"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Standard Error</w:t>
            </w:r>
          </w:p>
        </w:tc>
        <w:tc>
          <w:tcPr>
            <w:tcW w:w="1299" w:type="dxa"/>
            <w:gridSpan w:val="2"/>
            <w:tcBorders>
              <w:top w:val="single" w:sz="8" w:space="0" w:color="auto"/>
              <w:left w:val="nil"/>
              <w:bottom w:val="single" w:sz="4" w:space="0" w:color="auto"/>
              <w:right w:val="nil"/>
            </w:tcBorders>
            <w:shd w:val="clear" w:color="auto" w:fill="auto"/>
            <w:noWrap/>
            <w:vAlign w:val="bottom"/>
            <w:hideMark/>
          </w:tcPr>
          <w:p w14:paraId="6EAC2E7A"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t Stat</w:t>
            </w:r>
          </w:p>
        </w:tc>
        <w:tc>
          <w:tcPr>
            <w:tcW w:w="1299" w:type="dxa"/>
            <w:gridSpan w:val="2"/>
            <w:tcBorders>
              <w:top w:val="single" w:sz="8" w:space="0" w:color="auto"/>
              <w:left w:val="nil"/>
              <w:bottom w:val="single" w:sz="4" w:space="0" w:color="auto"/>
              <w:right w:val="nil"/>
            </w:tcBorders>
            <w:shd w:val="clear" w:color="auto" w:fill="auto"/>
            <w:noWrap/>
            <w:vAlign w:val="bottom"/>
            <w:hideMark/>
          </w:tcPr>
          <w:p w14:paraId="5E7FF72E"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P-value</w:t>
            </w:r>
          </w:p>
        </w:tc>
        <w:tc>
          <w:tcPr>
            <w:tcW w:w="1299" w:type="dxa"/>
            <w:gridSpan w:val="2"/>
            <w:tcBorders>
              <w:top w:val="single" w:sz="8" w:space="0" w:color="auto"/>
              <w:left w:val="nil"/>
              <w:bottom w:val="single" w:sz="4" w:space="0" w:color="auto"/>
              <w:right w:val="nil"/>
            </w:tcBorders>
            <w:shd w:val="clear" w:color="auto" w:fill="auto"/>
            <w:noWrap/>
            <w:vAlign w:val="bottom"/>
            <w:hideMark/>
          </w:tcPr>
          <w:p w14:paraId="6E3A7919"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Lower 95%</w:t>
            </w:r>
          </w:p>
        </w:tc>
        <w:tc>
          <w:tcPr>
            <w:tcW w:w="1299" w:type="dxa"/>
            <w:gridSpan w:val="2"/>
            <w:tcBorders>
              <w:top w:val="single" w:sz="8" w:space="0" w:color="auto"/>
              <w:left w:val="nil"/>
              <w:bottom w:val="single" w:sz="4" w:space="0" w:color="auto"/>
              <w:right w:val="nil"/>
            </w:tcBorders>
            <w:shd w:val="clear" w:color="auto" w:fill="auto"/>
            <w:noWrap/>
            <w:vAlign w:val="bottom"/>
            <w:hideMark/>
          </w:tcPr>
          <w:p w14:paraId="5444A8AB"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Upper 95%</w:t>
            </w:r>
          </w:p>
        </w:tc>
        <w:tc>
          <w:tcPr>
            <w:tcW w:w="1299" w:type="dxa"/>
            <w:gridSpan w:val="2"/>
            <w:tcBorders>
              <w:top w:val="single" w:sz="8" w:space="0" w:color="auto"/>
              <w:left w:val="nil"/>
              <w:bottom w:val="single" w:sz="4" w:space="0" w:color="auto"/>
              <w:right w:val="nil"/>
            </w:tcBorders>
            <w:shd w:val="clear" w:color="auto" w:fill="auto"/>
            <w:noWrap/>
            <w:vAlign w:val="bottom"/>
            <w:hideMark/>
          </w:tcPr>
          <w:p w14:paraId="69079A3C"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Lower 95.0%</w:t>
            </w:r>
          </w:p>
        </w:tc>
        <w:tc>
          <w:tcPr>
            <w:tcW w:w="1176" w:type="dxa"/>
            <w:gridSpan w:val="2"/>
            <w:tcBorders>
              <w:top w:val="single" w:sz="8" w:space="0" w:color="auto"/>
              <w:left w:val="nil"/>
              <w:bottom w:val="single" w:sz="4" w:space="0" w:color="auto"/>
              <w:right w:val="nil"/>
            </w:tcBorders>
            <w:shd w:val="clear" w:color="auto" w:fill="auto"/>
            <w:noWrap/>
            <w:vAlign w:val="bottom"/>
            <w:hideMark/>
          </w:tcPr>
          <w:p w14:paraId="63B4E223" w14:textId="77777777" w:rsidR="005A392D" w:rsidRPr="005A392D" w:rsidRDefault="005A392D" w:rsidP="00620BBC">
            <w:pPr>
              <w:spacing w:after="120" w:line="240" w:lineRule="auto"/>
              <w:jc w:val="center"/>
              <w:rPr>
                <w:rFonts w:ascii="Aptos Narrow" w:eastAsia="Times New Roman" w:hAnsi="Aptos Narrow"/>
                <w:i/>
                <w:iCs/>
                <w:color w:val="000000"/>
                <w:sz w:val="18"/>
                <w:szCs w:val="18"/>
                <w:lang w:eastAsia="en-NZ"/>
              </w:rPr>
            </w:pPr>
            <w:r w:rsidRPr="005A392D">
              <w:rPr>
                <w:rFonts w:ascii="Aptos Narrow" w:eastAsia="Times New Roman" w:hAnsi="Aptos Narrow"/>
                <w:i/>
                <w:iCs/>
                <w:color w:val="000000"/>
                <w:sz w:val="18"/>
                <w:szCs w:val="18"/>
                <w:lang w:eastAsia="en-NZ"/>
              </w:rPr>
              <w:t>Upper 95.0%</w:t>
            </w:r>
          </w:p>
        </w:tc>
      </w:tr>
      <w:tr w:rsidR="00600092" w:rsidRPr="00600092" w14:paraId="4B537FA8" w14:textId="77777777" w:rsidTr="00DB2F15">
        <w:trPr>
          <w:trHeight w:val="274"/>
        </w:trPr>
        <w:tc>
          <w:tcPr>
            <w:tcW w:w="1170" w:type="dxa"/>
            <w:gridSpan w:val="2"/>
            <w:tcBorders>
              <w:top w:val="nil"/>
              <w:left w:val="nil"/>
              <w:bottom w:val="nil"/>
              <w:right w:val="nil"/>
            </w:tcBorders>
            <w:shd w:val="clear" w:color="auto" w:fill="auto"/>
            <w:noWrap/>
            <w:vAlign w:val="bottom"/>
            <w:hideMark/>
          </w:tcPr>
          <w:p w14:paraId="1332771B" w14:textId="77777777" w:rsidR="005A392D" w:rsidRPr="005A392D" w:rsidRDefault="005A392D" w:rsidP="00620BBC">
            <w:pPr>
              <w:spacing w:after="120" w:line="240" w:lineRule="auto"/>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Intercept</w:t>
            </w:r>
          </w:p>
        </w:tc>
        <w:tc>
          <w:tcPr>
            <w:tcW w:w="1176" w:type="dxa"/>
            <w:tcBorders>
              <w:top w:val="nil"/>
              <w:left w:val="nil"/>
              <w:bottom w:val="nil"/>
              <w:right w:val="nil"/>
            </w:tcBorders>
            <w:shd w:val="clear" w:color="auto" w:fill="auto"/>
            <w:noWrap/>
            <w:vAlign w:val="bottom"/>
            <w:hideMark/>
          </w:tcPr>
          <w:p w14:paraId="120FF617" w14:textId="77777777" w:rsidR="005A392D" w:rsidRPr="005A392D" w:rsidRDefault="005A392D" w:rsidP="00620BBC">
            <w:pPr>
              <w:spacing w:after="120" w:line="240" w:lineRule="auto"/>
              <w:ind w:left="27" w:hanging="27"/>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2577.716626</w:t>
            </w:r>
          </w:p>
        </w:tc>
        <w:tc>
          <w:tcPr>
            <w:tcW w:w="1299" w:type="dxa"/>
            <w:gridSpan w:val="2"/>
            <w:tcBorders>
              <w:top w:val="nil"/>
              <w:left w:val="nil"/>
              <w:bottom w:val="nil"/>
              <w:right w:val="nil"/>
            </w:tcBorders>
            <w:shd w:val="clear" w:color="auto" w:fill="auto"/>
            <w:noWrap/>
            <w:vAlign w:val="bottom"/>
            <w:hideMark/>
          </w:tcPr>
          <w:p w14:paraId="09609B70"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86.26462032</w:t>
            </w:r>
          </w:p>
        </w:tc>
        <w:tc>
          <w:tcPr>
            <w:tcW w:w="1299" w:type="dxa"/>
            <w:gridSpan w:val="2"/>
            <w:tcBorders>
              <w:top w:val="nil"/>
              <w:left w:val="nil"/>
              <w:bottom w:val="nil"/>
              <w:right w:val="nil"/>
            </w:tcBorders>
            <w:shd w:val="clear" w:color="auto" w:fill="auto"/>
            <w:noWrap/>
            <w:vAlign w:val="bottom"/>
            <w:hideMark/>
          </w:tcPr>
          <w:p w14:paraId="5A37CB50"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29.88150434</w:t>
            </w:r>
          </w:p>
        </w:tc>
        <w:tc>
          <w:tcPr>
            <w:tcW w:w="1299" w:type="dxa"/>
            <w:gridSpan w:val="2"/>
            <w:tcBorders>
              <w:top w:val="nil"/>
              <w:left w:val="nil"/>
              <w:bottom w:val="nil"/>
              <w:right w:val="nil"/>
            </w:tcBorders>
            <w:shd w:val="clear" w:color="auto" w:fill="auto"/>
            <w:noWrap/>
            <w:vAlign w:val="bottom"/>
            <w:hideMark/>
          </w:tcPr>
          <w:p w14:paraId="297F9BAC"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1.7808E-168</w:t>
            </w:r>
          </w:p>
        </w:tc>
        <w:tc>
          <w:tcPr>
            <w:tcW w:w="1299" w:type="dxa"/>
            <w:gridSpan w:val="2"/>
            <w:tcBorders>
              <w:top w:val="nil"/>
              <w:left w:val="nil"/>
              <w:bottom w:val="nil"/>
              <w:right w:val="nil"/>
            </w:tcBorders>
            <w:shd w:val="clear" w:color="auto" w:fill="auto"/>
            <w:noWrap/>
            <w:vAlign w:val="bottom"/>
            <w:hideMark/>
          </w:tcPr>
          <w:p w14:paraId="1F83E6A2"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2408.560788</w:t>
            </w:r>
          </w:p>
        </w:tc>
        <w:tc>
          <w:tcPr>
            <w:tcW w:w="1299" w:type="dxa"/>
            <w:gridSpan w:val="2"/>
            <w:tcBorders>
              <w:top w:val="nil"/>
              <w:left w:val="nil"/>
              <w:bottom w:val="nil"/>
              <w:right w:val="nil"/>
            </w:tcBorders>
            <w:shd w:val="clear" w:color="auto" w:fill="auto"/>
            <w:noWrap/>
            <w:vAlign w:val="bottom"/>
            <w:hideMark/>
          </w:tcPr>
          <w:p w14:paraId="2233A3D4"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2746.872465</w:t>
            </w:r>
          </w:p>
        </w:tc>
        <w:tc>
          <w:tcPr>
            <w:tcW w:w="1299" w:type="dxa"/>
            <w:gridSpan w:val="2"/>
            <w:tcBorders>
              <w:top w:val="nil"/>
              <w:left w:val="nil"/>
              <w:bottom w:val="nil"/>
              <w:right w:val="nil"/>
            </w:tcBorders>
            <w:shd w:val="clear" w:color="auto" w:fill="auto"/>
            <w:noWrap/>
            <w:vAlign w:val="bottom"/>
            <w:hideMark/>
          </w:tcPr>
          <w:p w14:paraId="3220C0BA"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2408.560788</w:t>
            </w:r>
          </w:p>
        </w:tc>
        <w:tc>
          <w:tcPr>
            <w:tcW w:w="1176" w:type="dxa"/>
            <w:gridSpan w:val="2"/>
            <w:tcBorders>
              <w:top w:val="nil"/>
              <w:left w:val="nil"/>
              <w:bottom w:val="nil"/>
              <w:right w:val="nil"/>
            </w:tcBorders>
            <w:shd w:val="clear" w:color="auto" w:fill="auto"/>
            <w:noWrap/>
            <w:vAlign w:val="bottom"/>
            <w:hideMark/>
          </w:tcPr>
          <w:p w14:paraId="2D8E68B4"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2746.872465</w:t>
            </w:r>
          </w:p>
        </w:tc>
      </w:tr>
      <w:tr w:rsidR="00600092" w:rsidRPr="00600092" w14:paraId="1C81E4B9" w14:textId="77777777" w:rsidTr="00DB2F15">
        <w:trPr>
          <w:trHeight w:val="274"/>
        </w:trPr>
        <w:tc>
          <w:tcPr>
            <w:tcW w:w="1170" w:type="dxa"/>
            <w:gridSpan w:val="2"/>
            <w:tcBorders>
              <w:top w:val="nil"/>
              <w:left w:val="nil"/>
              <w:bottom w:val="nil"/>
              <w:right w:val="nil"/>
            </w:tcBorders>
            <w:shd w:val="clear" w:color="auto" w:fill="auto"/>
            <w:noWrap/>
            <w:vAlign w:val="bottom"/>
            <w:hideMark/>
          </w:tcPr>
          <w:p w14:paraId="5D5527B2"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43</w:t>
            </w:r>
          </w:p>
        </w:tc>
        <w:tc>
          <w:tcPr>
            <w:tcW w:w="1176" w:type="dxa"/>
            <w:tcBorders>
              <w:top w:val="nil"/>
              <w:left w:val="nil"/>
              <w:bottom w:val="nil"/>
              <w:right w:val="nil"/>
            </w:tcBorders>
            <w:shd w:val="clear" w:color="auto" w:fill="auto"/>
            <w:noWrap/>
            <w:vAlign w:val="bottom"/>
            <w:hideMark/>
          </w:tcPr>
          <w:p w14:paraId="26E0C570"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-0.81011947</w:t>
            </w:r>
          </w:p>
        </w:tc>
        <w:tc>
          <w:tcPr>
            <w:tcW w:w="1299" w:type="dxa"/>
            <w:gridSpan w:val="2"/>
            <w:tcBorders>
              <w:top w:val="nil"/>
              <w:left w:val="nil"/>
              <w:bottom w:val="nil"/>
              <w:right w:val="nil"/>
            </w:tcBorders>
            <w:shd w:val="clear" w:color="auto" w:fill="auto"/>
            <w:noWrap/>
            <w:vAlign w:val="bottom"/>
            <w:hideMark/>
          </w:tcPr>
          <w:p w14:paraId="18031123"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1.092963596</w:t>
            </w:r>
          </w:p>
        </w:tc>
        <w:tc>
          <w:tcPr>
            <w:tcW w:w="1299" w:type="dxa"/>
            <w:gridSpan w:val="2"/>
            <w:tcBorders>
              <w:top w:val="nil"/>
              <w:left w:val="nil"/>
              <w:bottom w:val="nil"/>
              <w:right w:val="nil"/>
            </w:tcBorders>
            <w:shd w:val="clear" w:color="auto" w:fill="auto"/>
            <w:noWrap/>
            <w:vAlign w:val="bottom"/>
            <w:hideMark/>
          </w:tcPr>
          <w:p w14:paraId="48B52F13"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-0.74121359</w:t>
            </w:r>
          </w:p>
        </w:tc>
        <w:tc>
          <w:tcPr>
            <w:tcW w:w="1299" w:type="dxa"/>
            <w:gridSpan w:val="2"/>
            <w:tcBorders>
              <w:top w:val="nil"/>
              <w:left w:val="nil"/>
              <w:bottom w:val="nil"/>
              <w:right w:val="nil"/>
            </w:tcBorders>
            <w:shd w:val="clear" w:color="auto" w:fill="auto"/>
            <w:noWrap/>
            <w:vAlign w:val="bottom"/>
            <w:hideMark/>
          </w:tcPr>
          <w:p w14:paraId="69DBD10E"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0.458632196</w:t>
            </w:r>
          </w:p>
        </w:tc>
        <w:tc>
          <w:tcPr>
            <w:tcW w:w="1299" w:type="dxa"/>
            <w:gridSpan w:val="2"/>
            <w:tcBorders>
              <w:top w:val="nil"/>
              <w:left w:val="nil"/>
              <w:bottom w:val="nil"/>
              <w:right w:val="nil"/>
            </w:tcBorders>
            <w:shd w:val="clear" w:color="auto" w:fill="auto"/>
            <w:noWrap/>
            <w:vAlign w:val="bottom"/>
            <w:hideMark/>
          </w:tcPr>
          <w:p w14:paraId="30EFE82B"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-2.95330602</w:t>
            </w:r>
          </w:p>
        </w:tc>
        <w:tc>
          <w:tcPr>
            <w:tcW w:w="1299" w:type="dxa"/>
            <w:gridSpan w:val="2"/>
            <w:tcBorders>
              <w:top w:val="nil"/>
              <w:left w:val="nil"/>
              <w:bottom w:val="nil"/>
              <w:right w:val="nil"/>
            </w:tcBorders>
            <w:shd w:val="clear" w:color="auto" w:fill="auto"/>
            <w:noWrap/>
            <w:vAlign w:val="bottom"/>
            <w:hideMark/>
          </w:tcPr>
          <w:p w14:paraId="7EAA8A8A"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1.333067075</w:t>
            </w:r>
          </w:p>
        </w:tc>
        <w:tc>
          <w:tcPr>
            <w:tcW w:w="1299" w:type="dxa"/>
            <w:gridSpan w:val="2"/>
            <w:tcBorders>
              <w:top w:val="nil"/>
              <w:left w:val="nil"/>
              <w:bottom w:val="nil"/>
              <w:right w:val="nil"/>
            </w:tcBorders>
            <w:shd w:val="clear" w:color="auto" w:fill="auto"/>
            <w:noWrap/>
            <w:vAlign w:val="bottom"/>
            <w:hideMark/>
          </w:tcPr>
          <w:p w14:paraId="6F91D6ED"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-2.953306015</w:t>
            </w:r>
          </w:p>
        </w:tc>
        <w:tc>
          <w:tcPr>
            <w:tcW w:w="1176" w:type="dxa"/>
            <w:gridSpan w:val="2"/>
            <w:tcBorders>
              <w:top w:val="nil"/>
              <w:left w:val="nil"/>
              <w:bottom w:val="nil"/>
              <w:right w:val="nil"/>
            </w:tcBorders>
            <w:shd w:val="clear" w:color="auto" w:fill="auto"/>
            <w:noWrap/>
            <w:vAlign w:val="bottom"/>
            <w:hideMark/>
          </w:tcPr>
          <w:p w14:paraId="48EF399C"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1.333067075</w:t>
            </w:r>
          </w:p>
        </w:tc>
      </w:tr>
      <w:tr w:rsidR="00600092" w:rsidRPr="00600092" w14:paraId="7DE07ADA" w14:textId="77777777" w:rsidTr="00DB2F15">
        <w:trPr>
          <w:trHeight w:val="283"/>
        </w:trPr>
        <w:tc>
          <w:tcPr>
            <w:tcW w:w="1170" w:type="dxa"/>
            <w:gridSpan w:val="2"/>
            <w:tcBorders>
              <w:top w:val="nil"/>
              <w:left w:val="nil"/>
              <w:bottom w:val="single" w:sz="8" w:space="0" w:color="auto"/>
              <w:right w:val="nil"/>
            </w:tcBorders>
            <w:shd w:val="clear" w:color="auto" w:fill="auto"/>
            <w:noWrap/>
            <w:vAlign w:val="bottom"/>
            <w:hideMark/>
          </w:tcPr>
          <w:p w14:paraId="3E3058E3"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96.25</w:t>
            </w:r>
          </w:p>
        </w:tc>
        <w:tc>
          <w:tcPr>
            <w:tcW w:w="1176" w:type="dxa"/>
            <w:tcBorders>
              <w:top w:val="nil"/>
              <w:left w:val="nil"/>
              <w:bottom w:val="single" w:sz="8" w:space="0" w:color="auto"/>
              <w:right w:val="nil"/>
            </w:tcBorders>
            <w:shd w:val="clear" w:color="auto" w:fill="auto"/>
            <w:noWrap/>
            <w:vAlign w:val="bottom"/>
            <w:hideMark/>
          </w:tcPr>
          <w:p w14:paraId="5FCEC179"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0.243215134</w:t>
            </w:r>
          </w:p>
        </w:tc>
        <w:tc>
          <w:tcPr>
            <w:tcW w:w="1299" w:type="dxa"/>
            <w:gridSpan w:val="2"/>
            <w:tcBorders>
              <w:top w:val="nil"/>
              <w:left w:val="nil"/>
              <w:bottom w:val="single" w:sz="8" w:space="0" w:color="auto"/>
              <w:right w:val="nil"/>
            </w:tcBorders>
            <w:shd w:val="clear" w:color="auto" w:fill="auto"/>
            <w:noWrap/>
            <w:vAlign w:val="bottom"/>
            <w:hideMark/>
          </w:tcPr>
          <w:p w14:paraId="19E123F7"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0.510143512</w:t>
            </w:r>
          </w:p>
        </w:tc>
        <w:tc>
          <w:tcPr>
            <w:tcW w:w="1299" w:type="dxa"/>
            <w:gridSpan w:val="2"/>
            <w:tcBorders>
              <w:top w:val="nil"/>
              <w:left w:val="nil"/>
              <w:bottom w:val="single" w:sz="8" w:space="0" w:color="auto"/>
              <w:right w:val="nil"/>
            </w:tcBorders>
            <w:shd w:val="clear" w:color="auto" w:fill="auto"/>
            <w:noWrap/>
            <w:vAlign w:val="bottom"/>
            <w:hideMark/>
          </w:tcPr>
          <w:p w14:paraId="6D2D6882"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0.476758261</w:t>
            </w:r>
          </w:p>
        </w:tc>
        <w:tc>
          <w:tcPr>
            <w:tcW w:w="1299" w:type="dxa"/>
            <w:gridSpan w:val="2"/>
            <w:tcBorders>
              <w:top w:val="nil"/>
              <w:left w:val="nil"/>
              <w:bottom w:val="single" w:sz="8" w:space="0" w:color="auto"/>
              <w:right w:val="nil"/>
            </w:tcBorders>
            <w:shd w:val="clear" w:color="auto" w:fill="auto"/>
            <w:noWrap/>
            <w:vAlign w:val="bottom"/>
            <w:hideMark/>
          </w:tcPr>
          <w:p w14:paraId="020F42C2"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0.633575122</w:t>
            </w:r>
          </w:p>
        </w:tc>
        <w:tc>
          <w:tcPr>
            <w:tcW w:w="1299" w:type="dxa"/>
            <w:gridSpan w:val="2"/>
            <w:tcBorders>
              <w:top w:val="nil"/>
              <w:left w:val="nil"/>
              <w:bottom w:val="single" w:sz="8" w:space="0" w:color="auto"/>
              <w:right w:val="nil"/>
            </w:tcBorders>
            <w:shd w:val="clear" w:color="auto" w:fill="auto"/>
            <w:noWrap/>
            <w:vAlign w:val="bottom"/>
            <w:hideMark/>
          </w:tcPr>
          <w:p w14:paraId="1E80C5F3"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-0.75712259</w:t>
            </w:r>
          </w:p>
        </w:tc>
        <w:tc>
          <w:tcPr>
            <w:tcW w:w="1299" w:type="dxa"/>
            <w:gridSpan w:val="2"/>
            <w:tcBorders>
              <w:top w:val="nil"/>
              <w:left w:val="nil"/>
              <w:bottom w:val="single" w:sz="8" w:space="0" w:color="auto"/>
              <w:right w:val="nil"/>
            </w:tcBorders>
            <w:shd w:val="clear" w:color="auto" w:fill="auto"/>
            <w:noWrap/>
            <w:vAlign w:val="bottom"/>
            <w:hideMark/>
          </w:tcPr>
          <w:p w14:paraId="4D36BAF8"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1.243552854</w:t>
            </w:r>
          </w:p>
        </w:tc>
        <w:tc>
          <w:tcPr>
            <w:tcW w:w="1299" w:type="dxa"/>
            <w:gridSpan w:val="2"/>
            <w:tcBorders>
              <w:top w:val="nil"/>
              <w:left w:val="nil"/>
              <w:bottom w:val="single" w:sz="8" w:space="0" w:color="auto"/>
              <w:right w:val="nil"/>
            </w:tcBorders>
            <w:shd w:val="clear" w:color="auto" w:fill="auto"/>
            <w:noWrap/>
            <w:vAlign w:val="bottom"/>
            <w:hideMark/>
          </w:tcPr>
          <w:p w14:paraId="47AF95B5"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-0.757122587</w:t>
            </w:r>
          </w:p>
        </w:tc>
        <w:tc>
          <w:tcPr>
            <w:tcW w:w="1176" w:type="dxa"/>
            <w:gridSpan w:val="2"/>
            <w:tcBorders>
              <w:top w:val="nil"/>
              <w:left w:val="nil"/>
              <w:bottom w:val="single" w:sz="8" w:space="0" w:color="auto"/>
              <w:right w:val="nil"/>
            </w:tcBorders>
            <w:shd w:val="clear" w:color="auto" w:fill="auto"/>
            <w:noWrap/>
            <w:vAlign w:val="bottom"/>
            <w:hideMark/>
          </w:tcPr>
          <w:p w14:paraId="360F23E3" w14:textId="77777777" w:rsidR="005A392D" w:rsidRPr="005A392D" w:rsidRDefault="005A392D" w:rsidP="00620BBC">
            <w:pPr>
              <w:spacing w:after="120" w:line="240" w:lineRule="auto"/>
              <w:jc w:val="right"/>
              <w:rPr>
                <w:rFonts w:ascii="Aptos Narrow" w:eastAsia="Times New Roman" w:hAnsi="Aptos Narrow"/>
                <w:color w:val="000000"/>
                <w:sz w:val="18"/>
                <w:szCs w:val="18"/>
                <w:lang w:eastAsia="en-NZ"/>
              </w:rPr>
            </w:pPr>
            <w:r w:rsidRPr="005A392D">
              <w:rPr>
                <w:rFonts w:ascii="Aptos Narrow" w:eastAsia="Times New Roman" w:hAnsi="Aptos Narrow"/>
                <w:color w:val="000000"/>
                <w:sz w:val="18"/>
                <w:szCs w:val="18"/>
                <w:lang w:eastAsia="en-NZ"/>
              </w:rPr>
              <w:t>1.243552854</w:t>
            </w:r>
          </w:p>
        </w:tc>
      </w:tr>
    </w:tbl>
    <w:p w14:paraId="4D496951" w14:textId="77777777" w:rsidR="00517F54" w:rsidRPr="00512D07" w:rsidRDefault="00517F54" w:rsidP="00620BBC">
      <w:pPr>
        <w:spacing w:after="120" w:line="240" w:lineRule="auto"/>
        <w:jc w:val="both"/>
        <w:rPr>
          <w:b/>
          <w:bCs/>
        </w:rPr>
      </w:pPr>
    </w:p>
    <w:p w14:paraId="36D75C1F" w14:textId="461BB78C" w:rsidR="003D3AE3" w:rsidRDefault="00AE037F" w:rsidP="00620BBC">
      <w:pPr>
        <w:pStyle w:val="Heading1"/>
        <w:numPr>
          <w:ilvl w:val="0"/>
          <w:numId w:val="35"/>
        </w:numPr>
        <w:spacing w:before="0" w:after="120" w:line="240" w:lineRule="auto"/>
      </w:pPr>
      <w:bookmarkStart w:id="10" w:name="_Toc194084545"/>
      <w:r>
        <w:t>Business insights</w:t>
      </w:r>
      <w:bookmarkEnd w:id="10"/>
    </w:p>
    <w:p w14:paraId="573FC0B2" w14:textId="10AC202D" w:rsidR="00FB5C57" w:rsidRDefault="0001447A" w:rsidP="00620BBC">
      <w:pPr>
        <w:spacing w:after="120" w:line="240" w:lineRule="auto"/>
      </w:pPr>
      <w:r w:rsidRPr="0001447A">
        <w:t>The following insights were derived from a combination of descriptive and diagnostic analyses, offering actionable recommendations for University X as it seeks to strengthen its online course offerings in a competitive global market.</w:t>
      </w:r>
    </w:p>
    <w:p w14:paraId="044F7BCC" w14:textId="37999336" w:rsidR="007F4F8C" w:rsidRPr="0038308F" w:rsidRDefault="00722AC2" w:rsidP="00722AC2">
      <w:pPr>
        <w:pStyle w:val="Heading2"/>
      </w:pPr>
      <w:bookmarkStart w:id="11" w:name="_Toc194084546"/>
      <w:r>
        <w:t xml:space="preserve">6.1 </w:t>
      </w:r>
      <w:r w:rsidR="007F4F8C" w:rsidRPr="0038308F">
        <w:t xml:space="preserve">Platform-level </w:t>
      </w:r>
      <w:r w:rsidR="00947685">
        <w:t>i</w:t>
      </w:r>
      <w:r w:rsidR="007F4F8C" w:rsidRPr="0038308F">
        <w:t xml:space="preserve">nsights: Quality vs. </w:t>
      </w:r>
      <w:r w:rsidR="00E01FA1">
        <w:t>Enrolment</w:t>
      </w:r>
      <w:bookmarkEnd w:id="11"/>
    </w:p>
    <w:p w14:paraId="784CE90B" w14:textId="355E3A86" w:rsidR="007F4F8C" w:rsidRPr="007F4F8C" w:rsidRDefault="007F4F8C" w:rsidP="00620BBC">
      <w:pPr>
        <w:spacing w:after="120" w:line="240" w:lineRule="auto"/>
      </w:pPr>
      <w:r>
        <w:t xml:space="preserve">The </w:t>
      </w:r>
      <w:r w:rsidRPr="007F4F8C">
        <w:t>platform comparison reveals that:</w:t>
      </w:r>
    </w:p>
    <w:p w14:paraId="39954415" w14:textId="77777777" w:rsidR="007F4F8C" w:rsidRPr="007F4F8C" w:rsidRDefault="007F4F8C" w:rsidP="00620BBC">
      <w:pPr>
        <w:numPr>
          <w:ilvl w:val="0"/>
          <w:numId w:val="26"/>
        </w:numPr>
        <w:spacing w:after="120" w:line="240" w:lineRule="auto"/>
      </w:pPr>
      <w:r w:rsidRPr="007F4F8C">
        <w:t>edX demonstrates the strongest performance overall, leading in both learner satisfaction (average rating 4.0032) and completion rate (75.34%).</w:t>
      </w:r>
    </w:p>
    <w:p w14:paraId="2E61A17D" w14:textId="77777777" w:rsidR="007F4F8C" w:rsidRPr="007F4F8C" w:rsidRDefault="007F4F8C" w:rsidP="00620BBC">
      <w:pPr>
        <w:numPr>
          <w:ilvl w:val="0"/>
          <w:numId w:val="26"/>
        </w:numPr>
        <w:spacing w:after="120" w:line="240" w:lineRule="auto"/>
      </w:pPr>
      <w:r w:rsidRPr="007F4F8C">
        <w:t>Udemy attracts the highest total enrolment, with over 6.5 million learners, suggesting superior market penetration.</w:t>
      </w:r>
    </w:p>
    <w:p w14:paraId="727CF34D" w14:textId="77777777" w:rsidR="007F4F8C" w:rsidRPr="007F4F8C" w:rsidRDefault="007F4F8C" w:rsidP="00620BBC">
      <w:pPr>
        <w:numPr>
          <w:ilvl w:val="0"/>
          <w:numId w:val="26"/>
        </w:numPr>
        <w:spacing w:after="120" w:line="240" w:lineRule="auto"/>
      </w:pPr>
      <w:r w:rsidRPr="007F4F8C">
        <w:t>Coursera and LinkedIn Learning maintain strong metrics, though LinkedIn trails slightly in satisfaction.</w:t>
      </w:r>
    </w:p>
    <w:p w14:paraId="3E8EC855" w14:textId="3D100056" w:rsidR="007F4F8C" w:rsidRDefault="007F4F8C" w:rsidP="00620BBC">
      <w:pPr>
        <w:spacing w:after="120" w:line="240" w:lineRule="auto"/>
      </w:pPr>
      <w:r w:rsidRPr="007F4F8C">
        <w:rPr>
          <w:b/>
          <w:bCs/>
        </w:rPr>
        <w:t xml:space="preserve">Implication for </w:t>
      </w:r>
      <w:r>
        <w:rPr>
          <w:b/>
          <w:bCs/>
        </w:rPr>
        <w:t>u</w:t>
      </w:r>
      <w:r w:rsidRPr="007F4F8C">
        <w:rPr>
          <w:b/>
          <w:bCs/>
        </w:rPr>
        <w:t>niversity X:</w:t>
      </w:r>
      <w:r w:rsidRPr="007F4F8C">
        <w:br/>
        <w:t>Stakeholders responsible for platform partnerships or benchmarking (e.g., strategy leads, academic directors) should look to edX as a model for course quality and engagement. Meanwhile, Udemy’s marketing and outreach strategies offer inspiration for expanding reach. University X can position its platform by combining quality-driven design (like edX) with scalability initiatives.</w:t>
      </w:r>
    </w:p>
    <w:p w14:paraId="65404B80" w14:textId="77777777" w:rsidR="00684303" w:rsidRPr="007F4F8C" w:rsidRDefault="00684303" w:rsidP="00620BBC">
      <w:pPr>
        <w:spacing w:after="120" w:line="240" w:lineRule="auto"/>
      </w:pPr>
    </w:p>
    <w:p w14:paraId="018612FB" w14:textId="6948D358" w:rsidR="007F4F8C" w:rsidRPr="007F4F8C" w:rsidRDefault="00947685" w:rsidP="00722AC2">
      <w:pPr>
        <w:pStyle w:val="Heading2"/>
      </w:pPr>
      <w:bookmarkStart w:id="12" w:name="_Toc194084547"/>
      <w:r>
        <w:lastRenderedPageBreak/>
        <w:t xml:space="preserve">6.2 </w:t>
      </w:r>
      <w:r w:rsidR="007F4F8C" w:rsidRPr="007F4F8C">
        <w:t xml:space="preserve">Course </w:t>
      </w:r>
      <w:r w:rsidR="00E92FDE">
        <w:t>d</w:t>
      </w:r>
      <w:r w:rsidR="007F4F8C" w:rsidRPr="007F4F8C">
        <w:t xml:space="preserve">uration: Engagement </w:t>
      </w:r>
      <w:r w:rsidR="00E92FDE">
        <w:t>i</w:t>
      </w:r>
      <w:r w:rsidR="007F4F8C" w:rsidRPr="007F4F8C">
        <w:t xml:space="preserve">s </w:t>
      </w:r>
      <w:r w:rsidR="00E92FDE">
        <w:t>n</w:t>
      </w:r>
      <w:r w:rsidR="007F4F8C" w:rsidRPr="007F4F8C">
        <w:t xml:space="preserve">ot </w:t>
      </w:r>
      <w:r w:rsidR="00E92FDE">
        <w:t>l</w:t>
      </w:r>
      <w:r w:rsidR="007F4F8C" w:rsidRPr="007F4F8C">
        <w:t>inear</w:t>
      </w:r>
      <w:bookmarkEnd w:id="12"/>
    </w:p>
    <w:p w14:paraId="0F92EB72" w14:textId="77777777" w:rsidR="007F4F8C" w:rsidRPr="007F4F8C" w:rsidRDefault="007F4F8C" w:rsidP="00620BBC">
      <w:pPr>
        <w:spacing w:after="120" w:line="240" w:lineRule="auto"/>
      </w:pPr>
      <w:r w:rsidRPr="007F4F8C">
        <w:t>From the EDA:</w:t>
      </w:r>
    </w:p>
    <w:p w14:paraId="125F3A1A" w14:textId="77777777" w:rsidR="007F4F8C" w:rsidRPr="007F4F8C" w:rsidRDefault="007F4F8C" w:rsidP="00620BBC">
      <w:pPr>
        <w:numPr>
          <w:ilvl w:val="0"/>
          <w:numId w:val="27"/>
        </w:numPr>
        <w:spacing w:after="120" w:line="240" w:lineRule="auto"/>
      </w:pPr>
      <w:r w:rsidRPr="007F4F8C">
        <w:t>Courses of 70–80 hours receive the highest satisfaction (avg. rating 4.02).</w:t>
      </w:r>
    </w:p>
    <w:p w14:paraId="6A44B393" w14:textId="77777777" w:rsidR="007F4F8C" w:rsidRPr="007F4F8C" w:rsidRDefault="007F4F8C" w:rsidP="00620BBC">
      <w:pPr>
        <w:numPr>
          <w:ilvl w:val="0"/>
          <w:numId w:val="27"/>
        </w:numPr>
        <w:spacing w:after="120" w:line="240" w:lineRule="auto"/>
      </w:pPr>
      <w:r w:rsidRPr="007F4F8C">
        <w:t>Very short (10–20 hrs) and very long (80–90 hrs) courses show the highest completion rates, around 75–76%.</w:t>
      </w:r>
    </w:p>
    <w:p w14:paraId="68A9F278" w14:textId="77777777" w:rsidR="007F4F8C" w:rsidRPr="007F4F8C" w:rsidRDefault="007F4F8C" w:rsidP="00620BBC">
      <w:pPr>
        <w:numPr>
          <w:ilvl w:val="0"/>
          <w:numId w:val="27"/>
        </w:numPr>
        <w:spacing w:after="120" w:line="240" w:lineRule="auto"/>
      </w:pPr>
      <w:r w:rsidRPr="007F4F8C">
        <w:t>Mid-length courses (50–70 hrs) underperform slightly in both metrics.</w:t>
      </w:r>
    </w:p>
    <w:p w14:paraId="5AC7C281" w14:textId="70790E69" w:rsidR="007F4F8C" w:rsidRPr="007F4F8C" w:rsidRDefault="007F4F8C" w:rsidP="00620BBC">
      <w:pPr>
        <w:spacing w:after="120" w:line="240" w:lineRule="auto"/>
      </w:pPr>
      <w:r w:rsidRPr="007F4F8C">
        <w:rPr>
          <w:b/>
          <w:bCs/>
        </w:rPr>
        <w:t>Implication for University X:</w:t>
      </w:r>
      <w:r w:rsidRPr="007F4F8C">
        <w:br/>
        <w:t xml:space="preserve">This is critical for </w:t>
      </w:r>
      <w:r w:rsidR="0029115D">
        <w:t>course</w:t>
      </w:r>
      <w:r w:rsidRPr="007F4F8C">
        <w:t xml:space="preserve"> designers and curriculum planners. Offering diverse durations—particularly short introductory and in-depth long-format courses—can increase both satisfaction and completion. Mid-length courses may require improved structure or pacing.</w:t>
      </w:r>
    </w:p>
    <w:p w14:paraId="3D16C38B" w14:textId="289D771C" w:rsidR="007F4F8C" w:rsidRPr="007F4F8C" w:rsidRDefault="00947685" w:rsidP="00722AC2">
      <w:pPr>
        <w:pStyle w:val="Heading2"/>
      </w:pPr>
      <w:bookmarkStart w:id="13" w:name="_Toc194084548"/>
      <w:r>
        <w:t xml:space="preserve">6.3 </w:t>
      </w:r>
      <w:r w:rsidR="007F4F8C" w:rsidRPr="007F4F8C">
        <w:t xml:space="preserve">Pricing: Perception of </w:t>
      </w:r>
      <w:r w:rsidR="00E92FDE">
        <w:t>v</w:t>
      </w:r>
      <w:r w:rsidR="007F4F8C" w:rsidRPr="007F4F8C">
        <w:t xml:space="preserve">alue </w:t>
      </w:r>
      <w:r w:rsidR="00E92FDE">
        <w:t>o</w:t>
      </w:r>
      <w:r w:rsidR="007F4F8C" w:rsidRPr="007F4F8C">
        <w:t xml:space="preserve">ver </w:t>
      </w:r>
      <w:r w:rsidR="00E92FDE">
        <w:t>a</w:t>
      </w:r>
      <w:r w:rsidR="007F4F8C" w:rsidRPr="007F4F8C">
        <w:t xml:space="preserve">bsolute </w:t>
      </w:r>
      <w:r w:rsidR="00E92FDE">
        <w:t>c</w:t>
      </w:r>
      <w:r w:rsidR="007F4F8C" w:rsidRPr="007F4F8C">
        <w:t>ost</w:t>
      </w:r>
      <w:bookmarkEnd w:id="13"/>
    </w:p>
    <w:p w14:paraId="2D588915" w14:textId="6DD5A310" w:rsidR="007F4F8C" w:rsidRPr="007F4F8C" w:rsidRDefault="00E92FDE" w:rsidP="00620BBC">
      <w:pPr>
        <w:spacing w:after="120" w:line="240" w:lineRule="auto"/>
      </w:pPr>
      <w:r>
        <w:t>The</w:t>
      </w:r>
      <w:r w:rsidR="007F4F8C" w:rsidRPr="007F4F8C">
        <w:t xml:space="preserve"> analysis of price bands shows:</w:t>
      </w:r>
    </w:p>
    <w:p w14:paraId="388FBF73" w14:textId="77777777" w:rsidR="007F4F8C" w:rsidRPr="007F4F8C" w:rsidRDefault="007F4F8C" w:rsidP="00620BBC">
      <w:pPr>
        <w:numPr>
          <w:ilvl w:val="0"/>
          <w:numId w:val="28"/>
        </w:numPr>
        <w:spacing w:after="120" w:line="240" w:lineRule="auto"/>
      </w:pPr>
      <w:r w:rsidRPr="007F4F8C">
        <w:t>Higher enrolment is seen in higher-priced courses (up to $200), suggesting perceived value plays a role.</w:t>
      </w:r>
    </w:p>
    <w:p w14:paraId="7DB069ED" w14:textId="77777777" w:rsidR="007F4F8C" w:rsidRPr="007F4F8C" w:rsidRDefault="007F4F8C" w:rsidP="00620BBC">
      <w:pPr>
        <w:numPr>
          <w:ilvl w:val="0"/>
          <w:numId w:val="28"/>
        </w:numPr>
        <w:spacing w:after="120" w:line="240" w:lineRule="auto"/>
      </w:pPr>
      <w:r w:rsidRPr="007F4F8C">
        <w:t>The $51–100 range offers the best combination of strong enrolment and highest average ratings (4.0095).</w:t>
      </w:r>
    </w:p>
    <w:p w14:paraId="73DCB06A" w14:textId="1ABB6828" w:rsidR="007F4F8C" w:rsidRPr="007F4F8C" w:rsidRDefault="007F4F8C" w:rsidP="00620BBC">
      <w:pPr>
        <w:spacing w:after="120" w:line="240" w:lineRule="auto"/>
      </w:pPr>
      <w:r w:rsidRPr="007F4F8C">
        <w:rPr>
          <w:b/>
          <w:bCs/>
        </w:rPr>
        <w:t>Implication for University X:</w:t>
      </w:r>
      <w:r w:rsidRPr="007F4F8C">
        <w:br/>
        <w:t>Product and pricing strategists should consider tiered pricing models with clear value communication. Courses in the $51–100 range can be positioned as premium, yet accessible, aligning with market trends and learner expectations. Excessively low pricing may undervalue the offering.</w:t>
      </w:r>
    </w:p>
    <w:p w14:paraId="74AD5EC2" w14:textId="7498FC51" w:rsidR="007F4F8C" w:rsidRPr="007F4F8C" w:rsidRDefault="00947685" w:rsidP="00722AC2">
      <w:pPr>
        <w:pStyle w:val="Heading2"/>
      </w:pPr>
      <w:bookmarkStart w:id="14" w:name="_Toc194084549"/>
      <w:r>
        <w:t xml:space="preserve">6.4 </w:t>
      </w:r>
      <w:r w:rsidR="007F4F8C" w:rsidRPr="007F4F8C">
        <w:t xml:space="preserve">Course </w:t>
      </w:r>
      <w:r w:rsidR="00E92FDE">
        <w:t>c</w:t>
      </w:r>
      <w:r w:rsidR="007F4F8C" w:rsidRPr="007F4F8C">
        <w:t xml:space="preserve">ategories: Soft </w:t>
      </w:r>
      <w:r w:rsidR="00E92FDE">
        <w:t>s</w:t>
      </w:r>
      <w:r w:rsidR="007F4F8C" w:rsidRPr="007F4F8C">
        <w:t xml:space="preserve">kills </w:t>
      </w:r>
      <w:r w:rsidR="00E92FDE">
        <w:t>d</w:t>
      </w:r>
      <w:r w:rsidR="007F4F8C" w:rsidRPr="007F4F8C">
        <w:t xml:space="preserve">rive </w:t>
      </w:r>
      <w:r w:rsidR="00E92FDE">
        <w:t>d</w:t>
      </w:r>
      <w:r w:rsidR="007F4F8C" w:rsidRPr="007F4F8C">
        <w:t>emand</w:t>
      </w:r>
      <w:bookmarkEnd w:id="14"/>
    </w:p>
    <w:p w14:paraId="3A192918" w14:textId="77777777" w:rsidR="007F4F8C" w:rsidRPr="007F4F8C" w:rsidRDefault="007F4F8C" w:rsidP="00620BBC">
      <w:pPr>
        <w:numPr>
          <w:ilvl w:val="0"/>
          <w:numId w:val="29"/>
        </w:numPr>
        <w:spacing w:after="120" w:line="240" w:lineRule="auto"/>
      </w:pPr>
      <w:r w:rsidRPr="007F4F8C">
        <w:t>Marketing, Finance, and Office Tools are the top three in learner demand, based on total enrolment.</w:t>
      </w:r>
    </w:p>
    <w:p w14:paraId="724A57DB" w14:textId="77777777" w:rsidR="007F4F8C" w:rsidRPr="007F4F8C" w:rsidRDefault="007F4F8C" w:rsidP="00620BBC">
      <w:pPr>
        <w:numPr>
          <w:ilvl w:val="0"/>
          <w:numId w:val="29"/>
        </w:numPr>
        <w:spacing w:after="120" w:line="240" w:lineRule="auto"/>
      </w:pPr>
      <w:r w:rsidRPr="007F4F8C">
        <w:t>Data Science and Marketing lead in learner satisfaction, both scoring above 4.01.</w:t>
      </w:r>
    </w:p>
    <w:p w14:paraId="4DCD4C13" w14:textId="77777777" w:rsidR="00ED201F" w:rsidRDefault="007F4F8C" w:rsidP="00620BBC">
      <w:pPr>
        <w:numPr>
          <w:ilvl w:val="0"/>
          <w:numId w:val="29"/>
        </w:numPr>
        <w:spacing w:after="120" w:line="240" w:lineRule="auto"/>
      </w:pPr>
      <w:r w:rsidRPr="007F4F8C">
        <w:t>Surprisingly, technical categories like Programming and Technology, while still strong, show slightly lower enrolment and ratings.</w:t>
      </w:r>
    </w:p>
    <w:p w14:paraId="4CA286DD" w14:textId="202886EF" w:rsidR="007F4F8C" w:rsidRPr="007F4F8C" w:rsidRDefault="007F4F8C" w:rsidP="00620BBC">
      <w:pPr>
        <w:spacing w:after="120" w:line="240" w:lineRule="auto"/>
      </w:pPr>
      <w:r w:rsidRPr="007F4F8C">
        <w:rPr>
          <w:b/>
          <w:bCs/>
        </w:rPr>
        <w:t>Implication for University X:</w:t>
      </w:r>
      <w:r w:rsidRPr="007F4F8C">
        <w:br/>
        <w:t>The program development team should prioritize new offerings in Marketing and Data Science, aligning with both learner demand and satisfaction. For technical areas, quality refinement may be needed to improve perceived value. This informs content strategy and helps align University X’s offerings with labour market trends.</w:t>
      </w:r>
    </w:p>
    <w:p w14:paraId="70B084B3" w14:textId="23DB7A93" w:rsidR="007F4F8C" w:rsidRPr="007F4F8C" w:rsidRDefault="00947685" w:rsidP="00722AC2">
      <w:pPr>
        <w:pStyle w:val="Heading2"/>
      </w:pPr>
      <w:bookmarkStart w:id="15" w:name="_Toc194084550"/>
      <w:r>
        <w:t xml:space="preserve">6.5 </w:t>
      </w:r>
      <w:r w:rsidR="007F4F8C" w:rsidRPr="007F4F8C">
        <w:t xml:space="preserve">Diagnostic </w:t>
      </w:r>
      <w:r w:rsidR="0038308F" w:rsidRPr="0038308F">
        <w:t>a</w:t>
      </w:r>
      <w:r w:rsidR="007F4F8C" w:rsidRPr="007F4F8C">
        <w:t xml:space="preserve">nalysis: Pricing and </w:t>
      </w:r>
      <w:r w:rsidR="0038308F" w:rsidRPr="0038308F">
        <w:t>d</w:t>
      </w:r>
      <w:r w:rsidR="007F4F8C" w:rsidRPr="007F4F8C">
        <w:t xml:space="preserve">uration </w:t>
      </w:r>
      <w:r w:rsidR="0038308F" w:rsidRPr="0038308F">
        <w:t>d</w:t>
      </w:r>
      <w:r w:rsidR="007F4F8C" w:rsidRPr="007F4F8C">
        <w:t xml:space="preserve">o </w:t>
      </w:r>
      <w:r w:rsidR="0038308F" w:rsidRPr="0038308F">
        <w:t>n</w:t>
      </w:r>
      <w:r w:rsidR="007F4F8C" w:rsidRPr="007F4F8C">
        <w:t xml:space="preserve">ot </w:t>
      </w:r>
      <w:r w:rsidR="0038308F" w:rsidRPr="0038308F">
        <w:t>p</w:t>
      </w:r>
      <w:r w:rsidR="007F4F8C" w:rsidRPr="007F4F8C">
        <w:t xml:space="preserve">redict </w:t>
      </w:r>
      <w:r w:rsidR="0038308F" w:rsidRPr="0038308F">
        <w:t>e</w:t>
      </w:r>
      <w:r w:rsidR="007F4F8C" w:rsidRPr="007F4F8C">
        <w:t>nrolment</w:t>
      </w:r>
      <w:bookmarkEnd w:id="15"/>
    </w:p>
    <w:p w14:paraId="3EDFB46C" w14:textId="7B85D43F" w:rsidR="007F4F8C" w:rsidRPr="007F4F8C" w:rsidRDefault="0038308F" w:rsidP="00620BBC">
      <w:pPr>
        <w:spacing w:after="120" w:line="240" w:lineRule="auto"/>
      </w:pPr>
      <w:r>
        <w:t xml:space="preserve">The </w:t>
      </w:r>
      <w:r w:rsidR="007F4F8C" w:rsidRPr="007F4F8C">
        <w:t>correlation matrix and regression analysis show:</w:t>
      </w:r>
    </w:p>
    <w:p w14:paraId="27197491" w14:textId="77777777" w:rsidR="007F4F8C" w:rsidRPr="007F4F8C" w:rsidRDefault="007F4F8C" w:rsidP="00620BBC">
      <w:pPr>
        <w:numPr>
          <w:ilvl w:val="0"/>
          <w:numId w:val="30"/>
        </w:numPr>
        <w:spacing w:after="120" w:line="240" w:lineRule="auto"/>
      </w:pPr>
      <w:r w:rsidRPr="007F4F8C">
        <w:t>Price and duration have negligible influence on enrolment.</w:t>
      </w:r>
    </w:p>
    <w:p w14:paraId="1699B6A5" w14:textId="77777777" w:rsidR="007F4F8C" w:rsidRPr="007F4F8C" w:rsidRDefault="007F4F8C" w:rsidP="00620BBC">
      <w:pPr>
        <w:numPr>
          <w:ilvl w:val="0"/>
          <w:numId w:val="30"/>
        </w:numPr>
        <w:spacing w:after="120" w:line="240" w:lineRule="auto"/>
      </w:pPr>
      <w:r w:rsidRPr="007F4F8C">
        <w:t>Course topic, platform, and potentially marketing factors are more likely to influence learner decisions.</w:t>
      </w:r>
    </w:p>
    <w:p w14:paraId="220094DC" w14:textId="2B06A26F" w:rsidR="007F4F8C" w:rsidRPr="007F4F8C" w:rsidRDefault="007F4F8C" w:rsidP="00620BBC">
      <w:pPr>
        <w:spacing w:after="120" w:line="240" w:lineRule="auto"/>
      </w:pPr>
      <w:r w:rsidRPr="007F4F8C">
        <w:rPr>
          <w:b/>
          <w:bCs/>
        </w:rPr>
        <w:t>Implication for University X:</w:t>
      </w:r>
      <w:r w:rsidRPr="007F4F8C">
        <w:br/>
        <w:t>Marketing teams and product managers should focus less on adjusting price or course length as levers for enrolment. Instead, they should invest in content marketing, category targeting, and platform visibility to drive engagement. These findings can also be shared with finance and analytics units to inform future experimentation.</w:t>
      </w:r>
    </w:p>
    <w:p w14:paraId="3BC88E1F" w14:textId="7164EA1A" w:rsidR="001F43ED" w:rsidRDefault="00ED2360" w:rsidP="00620BBC">
      <w:pPr>
        <w:pStyle w:val="Heading1"/>
        <w:numPr>
          <w:ilvl w:val="0"/>
          <w:numId w:val="35"/>
        </w:numPr>
        <w:spacing w:before="0" w:after="120" w:line="240" w:lineRule="auto"/>
      </w:pPr>
      <w:bookmarkStart w:id="16" w:name="_Toc194084551"/>
      <w:r>
        <w:lastRenderedPageBreak/>
        <w:t>Review and revise business questions</w:t>
      </w:r>
      <w:bookmarkEnd w:id="16"/>
    </w:p>
    <w:tbl>
      <w:tblPr>
        <w:tblStyle w:val="TableGrid"/>
        <w:tblW w:w="0" w:type="auto"/>
        <w:tblLook w:val="04A0" w:firstRow="1" w:lastRow="0" w:firstColumn="1" w:lastColumn="0" w:noHBand="0" w:noVBand="1"/>
      </w:tblPr>
      <w:tblGrid>
        <w:gridCol w:w="2858"/>
        <w:gridCol w:w="2604"/>
        <w:gridCol w:w="3554"/>
      </w:tblGrid>
      <w:tr w:rsidR="00FB5C57" w:rsidRPr="003931E7" w14:paraId="32FA36BD" w14:textId="77777777" w:rsidTr="007E6697">
        <w:tc>
          <w:tcPr>
            <w:tcW w:w="0" w:type="auto"/>
            <w:hideMark/>
          </w:tcPr>
          <w:p w14:paraId="02A5B9B8" w14:textId="77777777" w:rsidR="00FB5C57" w:rsidRPr="003931E7" w:rsidRDefault="00FB5C57" w:rsidP="00620BBC">
            <w:pPr>
              <w:spacing w:after="120" w:line="240" w:lineRule="auto"/>
              <w:rPr>
                <w:b/>
                <w:bCs/>
              </w:rPr>
            </w:pPr>
            <w:r w:rsidRPr="003931E7">
              <w:rPr>
                <w:b/>
                <w:bCs/>
              </w:rPr>
              <w:t xml:space="preserve">Existing </w:t>
            </w:r>
            <w:r>
              <w:rPr>
                <w:b/>
                <w:bCs/>
              </w:rPr>
              <w:t>b</w:t>
            </w:r>
            <w:r w:rsidRPr="003931E7">
              <w:rPr>
                <w:b/>
                <w:bCs/>
              </w:rPr>
              <w:t xml:space="preserve">usiness </w:t>
            </w:r>
            <w:r>
              <w:rPr>
                <w:b/>
                <w:bCs/>
              </w:rPr>
              <w:t>q</w:t>
            </w:r>
            <w:r w:rsidRPr="003931E7">
              <w:rPr>
                <w:b/>
                <w:bCs/>
              </w:rPr>
              <w:t>uestion</w:t>
            </w:r>
          </w:p>
        </w:tc>
        <w:tc>
          <w:tcPr>
            <w:tcW w:w="0" w:type="auto"/>
            <w:hideMark/>
          </w:tcPr>
          <w:p w14:paraId="2AD28AC2" w14:textId="77777777" w:rsidR="00FB5C57" w:rsidRPr="003931E7" w:rsidRDefault="00FB5C57" w:rsidP="00620BBC">
            <w:pPr>
              <w:spacing w:after="120" w:line="240" w:lineRule="auto"/>
              <w:rPr>
                <w:b/>
                <w:bCs/>
              </w:rPr>
            </w:pPr>
            <w:r w:rsidRPr="003931E7">
              <w:rPr>
                <w:b/>
                <w:bCs/>
              </w:rPr>
              <w:t xml:space="preserve">Revised </w:t>
            </w:r>
            <w:r>
              <w:rPr>
                <w:b/>
                <w:bCs/>
              </w:rPr>
              <w:t>q</w:t>
            </w:r>
            <w:r w:rsidRPr="003931E7">
              <w:rPr>
                <w:b/>
                <w:bCs/>
              </w:rPr>
              <w:t xml:space="preserve">uestion </w:t>
            </w:r>
          </w:p>
        </w:tc>
        <w:tc>
          <w:tcPr>
            <w:tcW w:w="0" w:type="auto"/>
            <w:hideMark/>
          </w:tcPr>
          <w:p w14:paraId="6A21EFD2" w14:textId="77777777" w:rsidR="00FB5C57" w:rsidRPr="003931E7" w:rsidRDefault="00FB5C57" w:rsidP="00620BBC">
            <w:pPr>
              <w:spacing w:after="120" w:line="240" w:lineRule="auto"/>
              <w:rPr>
                <w:b/>
                <w:bCs/>
              </w:rPr>
            </w:pPr>
            <w:r w:rsidRPr="003931E7">
              <w:rPr>
                <w:b/>
                <w:bCs/>
              </w:rPr>
              <w:t>Justification (</w:t>
            </w:r>
            <w:r>
              <w:rPr>
                <w:b/>
                <w:bCs/>
              </w:rPr>
              <w:t>b</w:t>
            </w:r>
            <w:r w:rsidRPr="003931E7">
              <w:rPr>
                <w:b/>
                <w:bCs/>
              </w:rPr>
              <w:t xml:space="preserve">ased on </w:t>
            </w:r>
            <w:r>
              <w:rPr>
                <w:b/>
                <w:bCs/>
              </w:rPr>
              <w:t>my d</w:t>
            </w:r>
            <w:r w:rsidRPr="003931E7">
              <w:rPr>
                <w:b/>
                <w:bCs/>
              </w:rPr>
              <w:t xml:space="preserve">ata </w:t>
            </w:r>
            <w:r>
              <w:rPr>
                <w:b/>
                <w:bCs/>
              </w:rPr>
              <w:t>a</w:t>
            </w:r>
            <w:r w:rsidRPr="003931E7">
              <w:rPr>
                <w:b/>
                <w:bCs/>
              </w:rPr>
              <w:t>nalysis)</w:t>
            </w:r>
          </w:p>
        </w:tc>
      </w:tr>
      <w:tr w:rsidR="00FB5C57" w:rsidRPr="003931E7" w14:paraId="45C2995A" w14:textId="77777777" w:rsidTr="007E6697">
        <w:tc>
          <w:tcPr>
            <w:tcW w:w="0" w:type="auto"/>
            <w:hideMark/>
          </w:tcPr>
          <w:p w14:paraId="4412B645" w14:textId="77777777" w:rsidR="00FB5C57" w:rsidRPr="003931E7" w:rsidRDefault="00FB5C57" w:rsidP="00620BBC">
            <w:pPr>
              <w:spacing w:after="120" w:line="240" w:lineRule="auto"/>
            </w:pPr>
            <w:r w:rsidRPr="003931E7">
              <w:rPr>
                <w:b/>
                <w:bCs/>
              </w:rPr>
              <w:t>1. Which platforms offer the highest-performing courses across key metrics (enrolment, ratings, and completion rates)?</w:t>
            </w:r>
          </w:p>
        </w:tc>
        <w:tc>
          <w:tcPr>
            <w:tcW w:w="0" w:type="auto"/>
            <w:hideMark/>
          </w:tcPr>
          <w:p w14:paraId="1CE74518" w14:textId="77777777" w:rsidR="00FB5C57" w:rsidRPr="003931E7" w:rsidRDefault="00FB5C57" w:rsidP="00620BBC">
            <w:pPr>
              <w:spacing w:after="120" w:line="240" w:lineRule="auto"/>
            </w:pPr>
            <w:r w:rsidRPr="003931E7">
              <w:rPr>
                <w:i/>
                <w:iCs/>
              </w:rPr>
              <w:t>No change needed</w:t>
            </w:r>
          </w:p>
        </w:tc>
        <w:tc>
          <w:tcPr>
            <w:tcW w:w="0" w:type="auto"/>
            <w:hideMark/>
          </w:tcPr>
          <w:p w14:paraId="6F525CE4" w14:textId="77777777" w:rsidR="00FB5C57" w:rsidRPr="003931E7" w:rsidRDefault="00FB5C57" w:rsidP="00620BBC">
            <w:pPr>
              <w:spacing w:after="120" w:line="240" w:lineRule="auto"/>
            </w:pPr>
            <w:r>
              <w:t>My analysis of</w:t>
            </w:r>
            <w:r w:rsidRPr="003931E7">
              <w:t xml:space="preserve"> platform-level data (Table: enrolment, rating, and completion) fully supports this question. Strong analysis with clear comparative insights.</w:t>
            </w:r>
          </w:p>
        </w:tc>
      </w:tr>
      <w:tr w:rsidR="00FB5C57" w:rsidRPr="003931E7" w14:paraId="58088926" w14:textId="77777777" w:rsidTr="007E6697">
        <w:tc>
          <w:tcPr>
            <w:tcW w:w="0" w:type="auto"/>
            <w:hideMark/>
          </w:tcPr>
          <w:p w14:paraId="5581FBB8" w14:textId="77777777" w:rsidR="00FB5C57" w:rsidRPr="003931E7" w:rsidRDefault="00FB5C57" w:rsidP="00620BBC">
            <w:pPr>
              <w:spacing w:after="120" w:line="240" w:lineRule="auto"/>
            </w:pPr>
            <w:r w:rsidRPr="003931E7">
              <w:rPr>
                <w:b/>
                <w:bCs/>
              </w:rPr>
              <w:t>2. How do course characteristics such as price, duration, category, and platform influence user satisfaction and enrolment across different platforms?</w:t>
            </w:r>
          </w:p>
        </w:tc>
        <w:tc>
          <w:tcPr>
            <w:tcW w:w="0" w:type="auto"/>
            <w:hideMark/>
          </w:tcPr>
          <w:p w14:paraId="76A29C81" w14:textId="77777777" w:rsidR="00FB5C57" w:rsidRPr="003931E7" w:rsidRDefault="00FB5C57" w:rsidP="00620BBC">
            <w:pPr>
              <w:spacing w:after="120" w:line="240" w:lineRule="auto"/>
            </w:pPr>
            <w:r w:rsidRPr="003931E7">
              <w:t>How do course characteristics such as price, duration, and category influence user satisfaction and completion across platforms?</w:t>
            </w:r>
          </w:p>
        </w:tc>
        <w:tc>
          <w:tcPr>
            <w:tcW w:w="0" w:type="auto"/>
            <w:hideMark/>
          </w:tcPr>
          <w:p w14:paraId="575AF8D3" w14:textId="77777777" w:rsidR="00FB5C57" w:rsidRPr="003931E7" w:rsidRDefault="00FB5C57" w:rsidP="00620BBC">
            <w:pPr>
              <w:spacing w:after="120" w:line="240" w:lineRule="auto"/>
            </w:pPr>
            <w:r w:rsidRPr="003931E7">
              <w:t xml:space="preserve">Minor refinement: </w:t>
            </w:r>
            <w:r>
              <w:t>The</w:t>
            </w:r>
            <w:r w:rsidRPr="003931E7">
              <w:t xml:space="preserve"> correlation matrix and regression models show minimal impact of price/duration on enrolment, but some influence on completion. “Satisfaction and completion” better reflect what </w:t>
            </w:r>
            <w:r>
              <w:t xml:space="preserve">my </w:t>
            </w:r>
            <w:r w:rsidRPr="003931E7">
              <w:t>data can explain</w:t>
            </w:r>
            <w:r>
              <w:t>”</w:t>
            </w:r>
          </w:p>
        </w:tc>
      </w:tr>
      <w:tr w:rsidR="00FB5C57" w:rsidRPr="003931E7" w14:paraId="06A28568" w14:textId="77777777" w:rsidTr="007E6697">
        <w:tc>
          <w:tcPr>
            <w:tcW w:w="0" w:type="auto"/>
            <w:hideMark/>
          </w:tcPr>
          <w:p w14:paraId="5A82501E" w14:textId="77777777" w:rsidR="00FB5C57" w:rsidRPr="003931E7" w:rsidRDefault="00FB5C57" w:rsidP="00620BBC">
            <w:pPr>
              <w:spacing w:after="120" w:line="240" w:lineRule="auto"/>
            </w:pPr>
            <w:r>
              <w:rPr>
                <w:b/>
                <w:bCs/>
              </w:rPr>
              <w:t xml:space="preserve">2.1 </w:t>
            </w:r>
            <w:r w:rsidRPr="003931E7">
              <w:rPr>
                <w:b/>
                <w:bCs/>
              </w:rPr>
              <w:t>How does pricing affect enrolments and ratings?</w:t>
            </w:r>
          </w:p>
        </w:tc>
        <w:tc>
          <w:tcPr>
            <w:tcW w:w="0" w:type="auto"/>
            <w:hideMark/>
          </w:tcPr>
          <w:p w14:paraId="54487C85" w14:textId="77777777" w:rsidR="00FB5C57" w:rsidRPr="003931E7" w:rsidRDefault="00FB5C57" w:rsidP="00620BBC">
            <w:pPr>
              <w:spacing w:after="120" w:line="240" w:lineRule="auto"/>
            </w:pPr>
            <w:r w:rsidRPr="003931E7">
              <w:t>What is the relationship between pricing and learner satisfaction?</w:t>
            </w:r>
          </w:p>
        </w:tc>
        <w:tc>
          <w:tcPr>
            <w:tcW w:w="0" w:type="auto"/>
            <w:hideMark/>
          </w:tcPr>
          <w:p w14:paraId="7BDDCA30" w14:textId="77777777" w:rsidR="00FB5C57" w:rsidRPr="003931E7" w:rsidRDefault="00FB5C57" w:rsidP="00620BBC">
            <w:pPr>
              <w:spacing w:after="120" w:line="240" w:lineRule="auto"/>
            </w:pPr>
            <w:r w:rsidRPr="00896360">
              <w:t>My</w:t>
            </w:r>
            <w:r w:rsidRPr="003931E7">
              <w:t xml:space="preserve"> data </w:t>
            </w:r>
            <w:r w:rsidRPr="00896360">
              <w:t xml:space="preserve">analysis </w:t>
            </w:r>
            <w:r w:rsidRPr="003931E7">
              <w:t>shows no significant correlation between price and enrolment), and only a weak relationship with rating. Therefore, this revised question narrows scope to reflect where patterns are slightly more visible.</w:t>
            </w:r>
          </w:p>
        </w:tc>
      </w:tr>
      <w:tr w:rsidR="00FB5C57" w:rsidRPr="003931E7" w14:paraId="32E24BAF" w14:textId="77777777" w:rsidTr="007E6697">
        <w:tc>
          <w:tcPr>
            <w:tcW w:w="0" w:type="auto"/>
            <w:hideMark/>
          </w:tcPr>
          <w:p w14:paraId="23E4A4E6" w14:textId="77777777" w:rsidR="00FB5C57" w:rsidRPr="003931E7" w:rsidRDefault="00FB5C57" w:rsidP="00620BBC">
            <w:pPr>
              <w:spacing w:after="120" w:line="240" w:lineRule="auto"/>
            </w:pPr>
            <w:r>
              <w:rPr>
                <w:b/>
                <w:bCs/>
              </w:rPr>
              <w:t xml:space="preserve">2.2 </w:t>
            </w:r>
            <w:r w:rsidRPr="003931E7">
              <w:rPr>
                <w:b/>
                <w:bCs/>
              </w:rPr>
              <w:t>Are shorter courses generally associated with higher completion rates?</w:t>
            </w:r>
          </w:p>
        </w:tc>
        <w:tc>
          <w:tcPr>
            <w:tcW w:w="0" w:type="auto"/>
            <w:hideMark/>
          </w:tcPr>
          <w:p w14:paraId="1596D549" w14:textId="77777777" w:rsidR="00FB5C57" w:rsidRPr="003931E7" w:rsidRDefault="00FB5C57" w:rsidP="00620BBC">
            <w:pPr>
              <w:spacing w:after="120" w:line="240" w:lineRule="auto"/>
            </w:pPr>
            <w:r w:rsidRPr="003931E7">
              <w:rPr>
                <w:i/>
                <w:iCs/>
              </w:rPr>
              <w:t>No change needed</w:t>
            </w:r>
          </w:p>
        </w:tc>
        <w:tc>
          <w:tcPr>
            <w:tcW w:w="0" w:type="auto"/>
            <w:hideMark/>
          </w:tcPr>
          <w:p w14:paraId="5681212B" w14:textId="77777777" w:rsidR="00FB5C57" w:rsidRPr="003931E7" w:rsidRDefault="00FB5C57" w:rsidP="00620BBC">
            <w:pPr>
              <w:spacing w:after="120" w:line="240" w:lineRule="auto"/>
            </w:pPr>
            <w:r w:rsidRPr="003931E7">
              <w:t xml:space="preserve">Supported by </w:t>
            </w:r>
            <w:r>
              <w:t>my</w:t>
            </w:r>
            <w:r w:rsidRPr="003931E7">
              <w:t xml:space="preserve"> duration band analysis, which clearly shows patterns in ratings and completion by course length. </w:t>
            </w:r>
          </w:p>
        </w:tc>
      </w:tr>
      <w:tr w:rsidR="00FB5C57" w:rsidRPr="003931E7" w14:paraId="2CFD1DE7" w14:textId="77777777" w:rsidTr="007E6697">
        <w:tc>
          <w:tcPr>
            <w:tcW w:w="0" w:type="auto"/>
            <w:hideMark/>
          </w:tcPr>
          <w:p w14:paraId="2E7E42FB" w14:textId="77777777" w:rsidR="00FB5C57" w:rsidRPr="003931E7" w:rsidRDefault="00FB5C57" w:rsidP="00620BBC">
            <w:pPr>
              <w:spacing w:after="120" w:line="240" w:lineRule="auto"/>
            </w:pPr>
            <w:r>
              <w:rPr>
                <w:b/>
                <w:bCs/>
              </w:rPr>
              <w:t>3</w:t>
            </w:r>
            <w:r w:rsidRPr="003931E7">
              <w:rPr>
                <w:b/>
                <w:bCs/>
              </w:rPr>
              <w:t>. Which skills are most in-demand across different platforms, and how do they perform in terms of ratings and enrolment?</w:t>
            </w:r>
          </w:p>
        </w:tc>
        <w:tc>
          <w:tcPr>
            <w:tcW w:w="0" w:type="auto"/>
            <w:hideMark/>
          </w:tcPr>
          <w:p w14:paraId="3CDC58D2" w14:textId="77777777" w:rsidR="00FB5C57" w:rsidRPr="003931E7" w:rsidRDefault="00FB5C57" w:rsidP="00620BBC">
            <w:pPr>
              <w:spacing w:after="120" w:line="240" w:lineRule="auto"/>
            </w:pPr>
            <w:r w:rsidRPr="003931E7">
              <w:t>Which course categories are most in-demand, and how do they perform in terms of enrolment and learner satisfaction?</w:t>
            </w:r>
          </w:p>
        </w:tc>
        <w:tc>
          <w:tcPr>
            <w:tcW w:w="0" w:type="auto"/>
            <w:hideMark/>
          </w:tcPr>
          <w:p w14:paraId="6C484E9F" w14:textId="77777777" w:rsidR="00FB5C57" w:rsidRPr="003931E7" w:rsidRDefault="00FB5C57" w:rsidP="00620BBC">
            <w:pPr>
              <w:spacing w:after="120" w:line="240" w:lineRule="auto"/>
            </w:pPr>
            <w:r w:rsidRPr="003931E7">
              <w:t xml:space="preserve">Suggested for clarity: The dataset refers to "categories" (e.g., Marketing, Data Science), not specific skills. Rewording improves accuracy and matches </w:t>
            </w:r>
            <w:r>
              <w:t>my</w:t>
            </w:r>
            <w:r w:rsidRPr="003931E7">
              <w:t xml:space="preserve"> analysis (Table: category vs enrolment &amp; ratings).</w:t>
            </w:r>
          </w:p>
        </w:tc>
      </w:tr>
    </w:tbl>
    <w:p w14:paraId="470E176E" w14:textId="77777777" w:rsidR="00FB5C57" w:rsidRPr="00FB5C57" w:rsidRDefault="00FB5C57" w:rsidP="00620BBC">
      <w:pPr>
        <w:spacing w:after="120" w:line="240" w:lineRule="auto"/>
      </w:pPr>
    </w:p>
    <w:p w14:paraId="3BCEC4B4" w14:textId="5C17F84E" w:rsidR="00ED2360" w:rsidRDefault="00ED2360" w:rsidP="00620BBC">
      <w:pPr>
        <w:pStyle w:val="Heading1"/>
        <w:numPr>
          <w:ilvl w:val="0"/>
          <w:numId w:val="35"/>
        </w:numPr>
        <w:spacing w:before="0" w:after="120" w:line="240" w:lineRule="auto"/>
      </w:pPr>
      <w:bookmarkStart w:id="17" w:name="_Toc194084552"/>
      <w:r>
        <w:t>Conclusion</w:t>
      </w:r>
      <w:bookmarkEnd w:id="17"/>
    </w:p>
    <w:p w14:paraId="55112691" w14:textId="2C633D4E" w:rsidR="000A3A0C" w:rsidRPr="000A3A0C" w:rsidRDefault="000A3A0C" w:rsidP="00620BBC">
      <w:pPr>
        <w:spacing w:after="120" w:line="240" w:lineRule="auto"/>
      </w:pPr>
      <w:r w:rsidRPr="000A3A0C">
        <w:t>In conclusion, this analysis provides valuable insights into the factors influencing online course performance across different platforms. Key findings show that platform quality, course duration, pricing strategies, and category play significant roles in driving learner satisfaction and engagement. edX emerges as the top performer in terms of quality and engagement, while Udemy excels in enrolment numbers. Additionally, course pricing and duration exhibit minimal direct influence on enrolment, emphasising the importance of course content, platform, and marketing efforts. These insights will guide University X in refining its course offerings and positioning itself more effectively in the competitive online education market.</w:t>
      </w:r>
    </w:p>
    <w:p w14:paraId="78F8A1A1" w14:textId="7390C4CA" w:rsidR="001F43ED" w:rsidRDefault="001F43ED" w:rsidP="00620BBC">
      <w:pPr>
        <w:pStyle w:val="Heading1"/>
        <w:numPr>
          <w:ilvl w:val="0"/>
          <w:numId w:val="35"/>
        </w:numPr>
        <w:spacing w:before="0" w:after="120" w:line="240" w:lineRule="auto"/>
      </w:pPr>
      <w:bookmarkStart w:id="18" w:name="_Toc194084553"/>
      <w:r>
        <w:lastRenderedPageBreak/>
        <w:t>References</w:t>
      </w:r>
      <w:bookmarkEnd w:id="18"/>
    </w:p>
    <w:p w14:paraId="755D8962" w14:textId="77777777" w:rsidR="0098270B" w:rsidRDefault="0098270B" w:rsidP="00620BBC">
      <w:pPr>
        <w:spacing w:after="120" w:line="240" w:lineRule="auto"/>
      </w:pPr>
      <w:r>
        <w:t xml:space="preserve">Business of Apps. (2025, January 22). Online courses app revenue and usage statistics (2025). </w:t>
      </w:r>
      <w:hyperlink r:id="rId25" w:history="1">
        <w:r w:rsidRPr="004C5FEF">
          <w:rPr>
            <w:rStyle w:val="Hyperlink"/>
          </w:rPr>
          <w:t>https://www.businessofapps.com/data/online-courses-app-market/</w:t>
        </w:r>
      </w:hyperlink>
    </w:p>
    <w:p w14:paraId="206C6406" w14:textId="77777777" w:rsidR="0098270B" w:rsidRDefault="0098270B" w:rsidP="00620BBC">
      <w:pPr>
        <w:spacing w:after="120" w:line="240" w:lineRule="auto"/>
      </w:pPr>
      <w:r>
        <w:t xml:space="preserve">Deterding, S., Dixon, D., Khaled, R., &amp; Nacke, L. (2011). From game design elements to </w:t>
      </w:r>
      <w:proofErr w:type="spellStart"/>
      <w:r>
        <w:t>gamefulness</w:t>
      </w:r>
      <w:proofErr w:type="spellEnd"/>
      <w:r>
        <w:t xml:space="preserve">: Defining "gamification." Proceedings of the 15th International Academic </w:t>
      </w:r>
      <w:proofErr w:type="spellStart"/>
      <w:r>
        <w:t>MindTrek</w:t>
      </w:r>
      <w:proofErr w:type="spellEnd"/>
      <w:r>
        <w:t xml:space="preserve"> Conference, 9–15. </w:t>
      </w:r>
      <w:hyperlink r:id="rId26" w:history="1">
        <w:r w:rsidRPr="004C5FEF">
          <w:rPr>
            <w:rStyle w:val="Hyperlink"/>
          </w:rPr>
          <w:t>https://doi.org/10.1145/2181037.2181040</w:t>
        </w:r>
      </w:hyperlink>
    </w:p>
    <w:p w14:paraId="7945F18C" w14:textId="77777777" w:rsidR="0098270B" w:rsidRDefault="0098270B" w:rsidP="00620BBC">
      <w:pPr>
        <w:spacing w:after="120" w:line="240" w:lineRule="auto"/>
      </w:pPr>
      <w:r>
        <w:t xml:space="preserve">EI Design. (2022, March 10). eLearning trends in 2022 – How to leverage them to design high-impact L&amp;D programs for the hybrid workforce. Adobe eLearning. </w:t>
      </w:r>
      <w:hyperlink r:id="rId27" w:history="1">
        <w:r w:rsidRPr="004C5FEF">
          <w:rPr>
            <w:rStyle w:val="Hyperlink"/>
          </w:rPr>
          <w:t>https://elearning.adobe.com/2022/03/elearning-trends-in-2022-how-to-leverage-them-to-design-high-impact-ld-programs-for-the-hybrid-workforce/</w:t>
        </w:r>
      </w:hyperlink>
    </w:p>
    <w:p w14:paraId="0B5090FB" w14:textId="77777777" w:rsidR="0098270B" w:rsidRDefault="0098270B" w:rsidP="00620BBC">
      <w:pPr>
        <w:spacing w:after="120" w:line="240" w:lineRule="auto"/>
      </w:pPr>
      <w:r>
        <w:t xml:space="preserve">Polaris Market Research. (2022, February). E-learning market share, size, trends, industry analysis report, 2022–2030. Polaris Market Research. </w:t>
      </w:r>
      <w:hyperlink r:id="rId28" w:history="1">
        <w:r w:rsidRPr="004C5FEF">
          <w:rPr>
            <w:rStyle w:val="Hyperlink"/>
          </w:rPr>
          <w:t>https://www.polarismarketresearch.com/industry-analysis/e-learning-market</w:t>
        </w:r>
      </w:hyperlink>
    </w:p>
    <w:p w14:paraId="2CD6B03F" w14:textId="77777777" w:rsidR="00D30FF8" w:rsidRDefault="0098270B" w:rsidP="00620BBC">
      <w:pPr>
        <w:spacing w:after="120" w:line="240" w:lineRule="auto"/>
      </w:pPr>
      <w:r>
        <w:t xml:space="preserve">World Economic Forum. (2020). The future of jobs report 2020. World Economic Forum. </w:t>
      </w:r>
      <w:hyperlink r:id="rId29" w:history="1">
        <w:r w:rsidRPr="004C5FEF">
          <w:rPr>
            <w:rStyle w:val="Hyperlink"/>
          </w:rPr>
          <w:t>https://www.weforum.org/reports/the-future-of-jobs-report-2020</w:t>
        </w:r>
      </w:hyperlink>
    </w:p>
    <w:p w14:paraId="43342A2B" w14:textId="77777777" w:rsidR="0098270B" w:rsidRDefault="0098270B" w:rsidP="00620BBC">
      <w:pPr>
        <w:spacing w:after="120" w:line="240" w:lineRule="auto"/>
      </w:pPr>
    </w:p>
    <w:sectPr w:rsidR="0098270B" w:rsidSect="00E138C3">
      <w:footerReference w:type="even" r:id="rId30"/>
      <w:footerReference w:type="default" r:id="rId31"/>
      <w:footerReference w:type="first" r:id="rId3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AD85D" w14:textId="77777777" w:rsidR="00E22217" w:rsidRDefault="00E22217" w:rsidP="000B17BF">
      <w:pPr>
        <w:spacing w:after="0" w:line="240" w:lineRule="auto"/>
      </w:pPr>
      <w:r>
        <w:separator/>
      </w:r>
    </w:p>
  </w:endnote>
  <w:endnote w:type="continuationSeparator" w:id="0">
    <w:p w14:paraId="03C5F3DF" w14:textId="77777777" w:rsidR="00E22217" w:rsidRDefault="00E22217" w:rsidP="000B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E5A4" w14:textId="120532E8" w:rsidR="000B17BF" w:rsidRDefault="003C6343">
    <w:pPr>
      <w:pStyle w:val="Footer"/>
    </w:pPr>
    <w:r>
      <w:rPr>
        <w:noProof/>
      </w:rPr>
      <mc:AlternateContent>
        <mc:Choice Requires="wps">
          <w:drawing>
            <wp:anchor distT="0" distB="0" distL="0" distR="0" simplePos="0" relativeHeight="251658240" behindDoc="0" locked="0" layoutInCell="1" allowOverlap="1" wp14:anchorId="6EAC4D1E" wp14:editId="68CCC096">
              <wp:simplePos x="0" y="0"/>
              <wp:positionH relativeFrom="page">
                <wp:align>center</wp:align>
              </wp:positionH>
              <wp:positionV relativeFrom="page">
                <wp:align>bottom</wp:align>
              </wp:positionV>
              <wp:extent cx="1020445" cy="307340"/>
              <wp:effectExtent l="0" t="0" r="0" b="0"/>
              <wp:wrapNone/>
              <wp:docPr id="581053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5" cy="307340"/>
                      </a:xfrm>
                      <a:prstGeom prst="rect">
                        <a:avLst/>
                      </a:prstGeom>
                      <a:noFill/>
                      <a:ln>
                        <a:noFill/>
                      </a:ln>
                    </wps:spPr>
                    <wps:txbx>
                      <w:txbxContent>
                        <w:p w14:paraId="63FCF371" w14:textId="77777777" w:rsidR="000B17BF" w:rsidRPr="000B17BF" w:rsidRDefault="000B17BF" w:rsidP="000B17BF">
                          <w:pPr>
                            <w:spacing w:after="0"/>
                            <w:rPr>
                              <w:rFonts w:cs="Calibri"/>
                              <w:noProof/>
                              <w:color w:val="000000"/>
                              <w:sz w:val="14"/>
                              <w:szCs w:val="14"/>
                            </w:rPr>
                          </w:pPr>
                          <w:r w:rsidRPr="000B17BF">
                            <w:rPr>
                              <w:rFonts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EAC4D1E" id="_x0000_t202" coordsize="21600,21600" o:spt="202" path="m,l,21600r21600,l21600,xe">
              <v:stroke joinstyle="miter"/>
              <v:path gradientshapeok="t" o:connecttype="rect"/>
            </v:shapetype>
            <v:shape id="Text Box 2" o:spid="_x0000_s1027" type="#_x0000_t202" style="position:absolute;margin-left:0;margin-top:0;width:80.35pt;height:24.2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" filled="f" stroked="f">
              <v:textbox style="mso-fit-shape-to-text:t" inset="0,0,0,15pt">
                <w:txbxContent>
                  <w:p w14:paraId="63FCF371" w14:textId="77777777" w:rsidR="000B17BF" w:rsidRPr="000B17BF" w:rsidRDefault="000B17BF" w:rsidP="000B17BF">
                    <w:pPr>
                      <w:spacing w:after="0"/>
                      <w:rPr>
                        <w:rFonts w:cs="Calibri"/>
                        <w:noProof/>
                        <w:color w:val="000000"/>
                        <w:sz w:val="14"/>
                        <w:szCs w:val="14"/>
                      </w:rPr>
                    </w:pPr>
                    <w:r w:rsidRPr="000B17BF">
                      <w:rPr>
                        <w:rFonts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067F" w14:textId="77777777" w:rsidR="008303B4" w:rsidRDefault="008303B4">
    <w:pPr>
      <w:pStyle w:val="Footer"/>
      <w:jc w:val="center"/>
    </w:pPr>
    <w:r>
      <w:fldChar w:fldCharType="begin"/>
    </w:r>
    <w:r>
      <w:instrText xml:space="preserve"> PAGE   \* MERGEFORMAT </w:instrText>
    </w:r>
    <w:r>
      <w:fldChar w:fldCharType="separate"/>
    </w:r>
    <w:r>
      <w:rPr>
        <w:noProof/>
      </w:rPr>
      <w:t>2</w:t>
    </w:r>
    <w:r>
      <w:rPr>
        <w:noProof/>
      </w:rPr>
      <w:fldChar w:fldCharType="end"/>
    </w:r>
  </w:p>
  <w:p w14:paraId="4B50E6EA" w14:textId="77777777" w:rsidR="000B17BF" w:rsidRDefault="000B1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1516" w14:textId="096BF6FD" w:rsidR="000B17BF" w:rsidRDefault="003C6343">
    <w:pPr>
      <w:pStyle w:val="Footer"/>
    </w:pPr>
    <w:r>
      <w:rPr>
        <w:noProof/>
      </w:rPr>
      <mc:AlternateContent>
        <mc:Choice Requires="wps">
          <w:drawing>
            <wp:anchor distT="0" distB="0" distL="0" distR="0" simplePos="0" relativeHeight="251657216" behindDoc="0" locked="0" layoutInCell="1" allowOverlap="1" wp14:anchorId="6317690A" wp14:editId="6EAD4CE6">
              <wp:simplePos x="0" y="0"/>
              <wp:positionH relativeFrom="page">
                <wp:align>center</wp:align>
              </wp:positionH>
              <wp:positionV relativeFrom="page">
                <wp:align>bottom</wp:align>
              </wp:positionV>
              <wp:extent cx="1020445" cy="307340"/>
              <wp:effectExtent l="0" t="0" r="0" b="0"/>
              <wp:wrapNone/>
              <wp:docPr id="5631283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5" cy="307340"/>
                      </a:xfrm>
                      <a:prstGeom prst="rect">
                        <a:avLst/>
                      </a:prstGeom>
                      <a:noFill/>
                      <a:ln>
                        <a:noFill/>
                      </a:ln>
                    </wps:spPr>
                    <wps:txbx>
                      <w:txbxContent>
                        <w:p w14:paraId="6FFD00A0" w14:textId="77777777" w:rsidR="000B17BF" w:rsidRPr="000B17BF" w:rsidRDefault="000B17BF" w:rsidP="000B17BF">
                          <w:pPr>
                            <w:spacing w:after="0"/>
                            <w:rPr>
                              <w:rFonts w:cs="Calibri"/>
                              <w:noProof/>
                              <w:color w:val="000000"/>
                              <w:sz w:val="14"/>
                              <w:szCs w:val="14"/>
                            </w:rPr>
                          </w:pPr>
                          <w:r w:rsidRPr="000B17BF">
                            <w:rPr>
                              <w:rFonts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317690A" id="_x0000_t202" coordsize="21600,21600" o:spt="202" path="m,l,21600r21600,l21600,xe">
              <v:stroke joinstyle="miter"/>
              <v:path gradientshapeok="t" o:connecttype="rect"/>
            </v:shapetype>
            <v:shape id="Text Box 1" o:spid="_x0000_s1028" type="#_x0000_t202" style="position:absolute;margin-left:0;margin-top:0;width:80.35pt;height:24.2pt;z-index:25165721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" filled="f" stroked="f">
              <v:textbox style="mso-fit-shape-to-text:t" inset="0,0,0,15pt">
                <w:txbxContent>
                  <w:p w14:paraId="6FFD00A0" w14:textId="77777777" w:rsidR="000B17BF" w:rsidRPr="000B17BF" w:rsidRDefault="000B17BF" w:rsidP="000B17BF">
                    <w:pPr>
                      <w:spacing w:after="0"/>
                      <w:rPr>
                        <w:rFonts w:cs="Calibri"/>
                        <w:noProof/>
                        <w:color w:val="000000"/>
                        <w:sz w:val="14"/>
                        <w:szCs w:val="14"/>
                      </w:rPr>
                    </w:pPr>
                    <w:r w:rsidRPr="000B17BF">
                      <w:rPr>
                        <w:rFonts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373C9" w14:textId="77777777" w:rsidR="00E22217" w:rsidRDefault="00E22217" w:rsidP="000B17BF">
      <w:pPr>
        <w:spacing w:after="0" w:line="240" w:lineRule="auto"/>
      </w:pPr>
      <w:r>
        <w:separator/>
      </w:r>
    </w:p>
  </w:footnote>
  <w:footnote w:type="continuationSeparator" w:id="0">
    <w:p w14:paraId="30DCA2F4" w14:textId="77777777" w:rsidR="00E22217" w:rsidRDefault="00E22217" w:rsidP="000B1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3791"/>
    <w:multiLevelType w:val="multilevel"/>
    <w:tmpl w:val="E4BCA9FC"/>
    <w:lvl w:ilvl="0">
      <w:start w:val="1"/>
      <w:numFmt w:val="bullet"/>
      <w:lvlText w:val=""/>
      <w:lvlJc w:val="left"/>
      <w:pPr>
        <w:tabs>
          <w:tab w:val="num" w:pos="7023"/>
        </w:tabs>
        <w:ind w:left="7023" w:hanging="360"/>
      </w:pPr>
      <w:rPr>
        <w:rFonts w:ascii="Symbol" w:hAnsi="Symbol" w:hint="default"/>
        <w:sz w:val="20"/>
      </w:rPr>
    </w:lvl>
    <w:lvl w:ilvl="1" w:tentative="1">
      <w:start w:val="1"/>
      <w:numFmt w:val="bullet"/>
      <w:lvlText w:val="o"/>
      <w:lvlJc w:val="left"/>
      <w:pPr>
        <w:tabs>
          <w:tab w:val="num" w:pos="7743"/>
        </w:tabs>
        <w:ind w:left="7743" w:hanging="360"/>
      </w:pPr>
      <w:rPr>
        <w:rFonts w:ascii="Courier New" w:hAnsi="Courier New" w:hint="default"/>
        <w:sz w:val="20"/>
      </w:rPr>
    </w:lvl>
    <w:lvl w:ilvl="2" w:tentative="1">
      <w:start w:val="1"/>
      <w:numFmt w:val="bullet"/>
      <w:lvlText w:val=""/>
      <w:lvlJc w:val="left"/>
      <w:pPr>
        <w:tabs>
          <w:tab w:val="num" w:pos="8463"/>
        </w:tabs>
        <w:ind w:left="8463" w:hanging="360"/>
      </w:pPr>
      <w:rPr>
        <w:rFonts w:ascii="Wingdings" w:hAnsi="Wingdings" w:hint="default"/>
        <w:sz w:val="20"/>
      </w:rPr>
    </w:lvl>
    <w:lvl w:ilvl="3" w:tentative="1">
      <w:start w:val="1"/>
      <w:numFmt w:val="bullet"/>
      <w:lvlText w:val=""/>
      <w:lvlJc w:val="left"/>
      <w:pPr>
        <w:tabs>
          <w:tab w:val="num" w:pos="9183"/>
        </w:tabs>
        <w:ind w:left="9183" w:hanging="360"/>
      </w:pPr>
      <w:rPr>
        <w:rFonts w:ascii="Wingdings" w:hAnsi="Wingdings" w:hint="default"/>
        <w:sz w:val="20"/>
      </w:rPr>
    </w:lvl>
    <w:lvl w:ilvl="4" w:tentative="1">
      <w:start w:val="1"/>
      <w:numFmt w:val="bullet"/>
      <w:lvlText w:val=""/>
      <w:lvlJc w:val="left"/>
      <w:pPr>
        <w:tabs>
          <w:tab w:val="num" w:pos="9903"/>
        </w:tabs>
        <w:ind w:left="9903" w:hanging="360"/>
      </w:pPr>
      <w:rPr>
        <w:rFonts w:ascii="Wingdings" w:hAnsi="Wingdings" w:hint="default"/>
        <w:sz w:val="20"/>
      </w:rPr>
    </w:lvl>
    <w:lvl w:ilvl="5" w:tentative="1">
      <w:start w:val="1"/>
      <w:numFmt w:val="bullet"/>
      <w:lvlText w:val=""/>
      <w:lvlJc w:val="left"/>
      <w:pPr>
        <w:tabs>
          <w:tab w:val="num" w:pos="10623"/>
        </w:tabs>
        <w:ind w:left="10623" w:hanging="360"/>
      </w:pPr>
      <w:rPr>
        <w:rFonts w:ascii="Wingdings" w:hAnsi="Wingdings" w:hint="default"/>
        <w:sz w:val="20"/>
      </w:rPr>
    </w:lvl>
    <w:lvl w:ilvl="6" w:tentative="1">
      <w:start w:val="1"/>
      <w:numFmt w:val="bullet"/>
      <w:lvlText w:val=""/>
      <w:lvlJc w:val="left"/>
      <w:pPr>
        <w:tabs>
          <w:tab w:val="num" w:pos="11343"/>
        </w:tabs>
        <w:ind w:left="11343" w:hanging="360"/>
      </w:pPr>
      <w:rPr>
        <w:rFonts w:ascii="Wingdings" w:hAnsi="Wingdings" w:hint="default"/>
        <w:sz w:val="20"/>
      </w:rPr>
    </w:lvl>
    <w:lvl w:ilvl="7" w:tentative="1">
      <w:start w:val="1"/>
      <w:numFmt w:val="bullet"/>
      <w:lvlText w:val=""/>
      <w:lvlJc w:val="left"/>
      <w:pPr>
        <w:tabs>
          <w:tab w:val="num" w:pos="12063"/>
        </w:tabs>
        <w:ind w:left="12063" w:hanging="360"/>
      </w:pPr>
      <w:rPr>
        <w:rFonts w:ascii="Wingdings" w:hAnsi="Wingdings" w:hint="default"/>
        <w:sz w:val="20"/>
      </w:rPr>
    </w:lvl>
    <w:lvl w:ilvl="8" w:tentative="1">
      <w:start w:val="1"/>
      <w:numFmt w:val="bullet"/>
      <w:lvlText w:val=""/>
      <w:lvlJc w:val="left"/>
      <w:pPr>
        <w:tabs>
          <w:tab w:val="num" w:pos="12783"/>
        </w:tabs>
        <w:ind w:left="12783" w:hanging="360"/>
      </w:pPr>
      <w:rPr>
        <w:rFonts w:ascii="Wingdings" w:hAnsi="Wingdings" w:hint="default"/>
        <w:sz w:val="20"/>
      </w:rPr>
    </w:lvl>
  </w:abstractNum>
  <w:abstractNum w:abstractNumId="1" w15:restartNumberingAfterBreak="0">
    <w:nsid w:val="08A55245"/>
    <w:multiLevelType w:val="multilevel"/>
    <w:tmpl w:val="289A04C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1C6D98"/>
    <w:multiLevelType w:val="hybridMultilevel"/>
    <w:tmpl w:val="82F432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3611DBD"/>
    <w:multiLevelType w:val="hybridMultilevel"/>
    <w:tmpl w:val="E36AE7E2"/>
    <w:lvl w:ilvl="0" w:tplc="30488D7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5E383C"/>
    <w:multiLevelType w:val="hybridMultilevel"/>
    <w:tmpl w:val="9A9276CA"/>
    <w:lvl w:ilvl="0" w:tplc="B40E142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9F07F0"/>
    <w:multiLevelType w:val="hybridMultilevel"/>
    <w:tmpl w:val="56403122"/>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3063DC"/>
    <w:multiLevelType w:val="multilevel"/>
    <w:tmpl w:val="7436B5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F12B61"/>
    <w:multiLevelType w:val="hybridMultilevel"/>
    <w:tmpl w:val="3970F0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9F55F0"/>
    <w:multiLevelType w:val="multilevel"/>
    <w:tmpl w:val="5314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B02D3"/>
    <w:multiLevelType w:val="multilevel"/>
    <w:tmpl w:val="18C6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26F64"/>
    <w:multiLevelType w:val="multilevel"/>
    <w:tmpl w:val="4D0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40F08"/>
    <w:multiLevelType w:val="hybridMultilevel"/>
    <w:tmpl w:val="9E8CC8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128768D"/>
    <w:multiLevelType w:val="hybridMultilevel"/>
    <w:tmpl w:val="842E6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F64914"/>
    <w:multiLevelType w:val="multilevel"/>
    <w:tmpl w:val="9738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0560A"/>
    <w:multiLevelType w:val="multilevel"/>
    <w:tmpl w:val="FB92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91EBF"/>
    <w:multiLevelType w:val="hybridMultilevel"/>
    <w:tmpl w:val="3CA26E3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5FC3670"/>
    <w:multiLevelType w:val="hybridMultilevel"/>
    <w:tmpl w:val="01B6E8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8502586"/>
    <w:multiLevelType w:val="hybridMultilevel"/>
    <w:tmpl w:val="9A9E24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9E6721E"/>
    <w:multiLevelType w:val="multilevel"/>
    <w:tmpl w:val="854A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35C12"/>
    <w:multiLevelType w:val="multilevel"/>
    <w:tmpl w:val="C6A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B6EAB"/>
    <w:multiLevelType w:val="hybridMultilevel"/>
    <w:tmpl w:val="2550EE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D114CD"/>
    <w:multiLevelType w:val="hybridMultilevel"/>
    <w:tmpl w:val="F716CF8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AC81E3A"/>
    <w:multiLevelType w:val="hybridMultilevel"/>
    <w:tmpl w:val="3CA26E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967EF4"/>
    <w:multiLevelType w:val="hybridMultilevel"/>
    <w:tmpl w:val="34A2AB8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8930D82"/>
    <w:multiLevelType w:val="hybridMultilevel"/>
    <w:tmpl w:val="56403122"/>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470B82"/>
    <w:multiLevelType w:val="multilevel"/>
    <w:tmpl w:val="5BF8BB82"/>
    <w:lvl w:ilvl="0">
      <w:start w:val="2"/>
      <w:numFmt w:val="decimal"/>
      <w:lvlText w:val="%1."/>
      <w:lvlJc w:val="left"/>
      <w:pPr>
        <w:ind w:left="384" w:hanging="38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B6F489A"/>
    <w:multiLevelType w:val="multilevel"/>
    <w:tmpl w:val="F31E5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B17227"/>
    <w:multiLevelType w:val="hybridMultilevel"/>
    <w:tmpl w:val="18BEB5A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72F900E8"/>
    <w:multiLevelType w:val="hybridMultilevel"/>
    <w:tmpl w:val="A8962C52"/>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51329D0"/>
    <w:multiLevelType w:val="hybridMultilevel"/>
    <w:tmpl w:val="78282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09080A"/>
    <w:multiLevelType w:val="hybridMultilevel"/>
    <w:tmpl w:val="82B495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6AC7EFF"/>
    <w:multiLevelType w:val="multilevel"/>
    <w:tmpl w:val="9FE8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7741E"/>
    <w:multiLevelType w:val="multilevel"/>
    <w:tmpl w:val="E12C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52B64"/>
    <w:multiLevelType w:val="hybridMultilevel"/>
    <w:tmpl w:val="3F1EC6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D946FCC"/>
    <w:multiLevelType w:val="hybridMultilevel"/>
    <w:tmpl w:val="88C8F0F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04233814">
    <w:abstractNumId w:val="3"/>
  </w:num>
  <w:num w:numId="2" w16cid:durableId="1681200613">
    <w:abstractNumId w:val="1"/>
  </w:num>
  <w:num w:numId="3" w16cid:durableId="807674984">
    <w:abstractNumId w:val="25"/>
  </w:num>
  <w:num w:numId="4" w16cid:durableId="1858545079">
    <w:abstractNumId w:val="11"/>
  </w:num>
  <w:num w:numId="5" w16cid:durableId="205459900">
    <w:abstractNumId w:val="16"/>
  </w:num>
  <w:num w:numId="6" w16cid:durableId="373388755">
    <w:abstractNumId w:val="20"/>
  </w:num>
  <w:num w:numId="7" w16cid:durableId="1996179100">
    <w:abstractNumId w:val="29"/>
  </w:num>
  <w:num w:numId="8" w16cid:durableId="496922681">
    <w:abstractNumId w:val="12"/>
  </w:num>
  <w:num w:numId="9" w16cid:durableId="18822677">
    <w:abstractNumId w:val="4"/>
  </w:num>
  <w:num w:numId="10" w16cid:durableId="2054771981">
    <w:abstractNumId w:val="26"/>
  </w:num>
  <w:num w:numId="11" w16cid:durableId="145167203">
    <w:abstractNumId w:val="27"/>
  </w:num>
  <w:num w:numId="12" w16cid:durableId="2093695626">
    <w:abstractNumId w:val="21"/>
  </w:num>
  <w:num w:numId="13" w16cid:durableId="2072388926">
    <w:abstractNumId w:val="15"/>
  </w:num>
  <w:num w:numId="14" w16cid:durableId="1716275617">
    <w:abstractNumId w:val="34"/>
  </w:num>
  <w:num w:numId="15" w16cid:durableId="1879853043">
    <w:abstractNumId w:val="23"/>
  </w:num>
  <w:num w:numId="16" w16cid:durableId="2070955461">
    <w:abstractNumId w:val="10"/>
  </w:num>
  <w:num w:numId="17" w16cid:durableId="1625581419">
    <w:abstractNumId w:val="18"/>
  </w:num>
  <w:num w:numId="18" w16cid:durableId="1002511212">
    <w:abstractNumId w:val="14"/>
  </w:num>
  <w:num w:numId="19" w16cid:durableId="1552690779">
    <w:abstractNumId w:val="7"/>
  </w:num>
  <w:num w:numId="20" w16cid:durableId="1426460030">
    <w:abstractNumId w:val="30"/>
  </w:num>
  <w:num w:numId="21" w16cid:durableId="1173106364">
    <w:abstractNumId w:val="5"/>
  </w:num>
  <w:num w:numId="22" w16cid:durableId="1673021340">
    <w:abstractNumId w:val="0"/>
  </w:num>
  <w:num w:numId="23" w16cid:durableId="1721783404">
    <w:abstractNumId w:val="32"/>
  </w:num>
  <w:num w:numId="24" w16cid:durableId="321200734">
    <w:abstractNumId w:val="33"/>
  </w:num>
  <w:num w:numId="25" w16cid:durableId="1164931001">
    <w:abstractNumId w:val="22"/>
  </w:num>
  <w:num w:numId="26" w16cid:durableId="187986919">
    <w:abstractNumId w:val="19"/>
  </w:num>
  <w:num w:numId="27" w16cid:durableId="1432387475">
    <w:abstractNumId w:val="9"/>
  </w:num>
  <w:num w:numId="28" w16cid:durableId="582035722">
    <w:abstractNumId w:val="31"/>
  </w:num>
  <w:num w:numId="29" w16cid:durableId="832992955">
    <w:abstractNumId w:val="8"/>
  </w:num>
  <w:num w:numId="30" w16cid:durableId="757214967">
    <w:abstractNumId w:val="13"/>
  </w:num>
  <w:num w:numId="31" w16cid:durableId="699479118">
    <w:abstractNumId w:val="17"/>
  </w:num>
  <w:num w:numId="32" w16cid:durableId="219636096">
    <w:abstractNumId w:val="6"/>
  </w:num>
  <w:num w:numId="33" w16cid:durableId="1559121888">
    <w:abstractNumId w:val="24"/>
  </w:num>
  <w:num w:numId="34" w16cid:durableId="1672247265">
    <w:abstractNumId w:val="2"/>
  </w:num>
  <w:num w:numId="35" w16cid:durableId="4678189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11"/>
    <w:rsid w:val="00001528"/>
    <w:rsid w:val="000020E8"/>
    <w:rsid w:val="000026A3"/>
    <w:rsid w:val="000079D3"/>
    <w:rsid w:val="000114FB"/>
    <w:rsid w:val="0001447A"/>
    <w:rsid w:val="00016E72"/>
    <w:rsid w:val="00023D26"/>
    <w:rsid w:val="00024595"/>
    <w:rsid w:val="00030500"/>
    <w:rsid w:val="00033AF4"/>
    <w:rsid w:val="00035A4C"/>
    <w:rsid w:val="00037986"/>
    <w:rsid w:val="00040206"/>
    <w:rsid w:val="00044C53"/>
    <w:rsid w:val="00047724"/>
    <w:rsid w:val="000531DB"/>
    <w:rsid w:val="00055896"/>
    <w:rsid w:val="00056C55"/>
    <w:rsid w:val="00070CC7"/>
    <w:rsid w:val="0007263C"/>
    <w:rsid w:val="000729A8"/>
    <w:rsid w:val="00081FE1"/>
    <w:rsid w:val="0009022E"/>
    <w:rsid w:val="000923CD"/>
    <w:rsid w:val="00096769"/>
    <w:rsid w:val="000A3A0C"/>
    <w:rsid w:val="000A4977"/>
    <w:rsid w:val="000B0132"/>
    <w:rsid w:val="000B17BF"/>
    <w:rsid w:val="000B59DA"/>
    <w:rsid w:val="000C1DE1"/>
    <w:rsid w:val="000C37A1"/>
    <w:rsid w:val="000C4AA4"/>
    <w:rsid w:val="000D2D2C"/>
    <w:rsid w:val="000D5C2D"/>
    <w:rsid w:val="000D6691"/>
    <w:rsid w:val="000E1ABB"/>
    <w:rsid w:val="000E23FC"/>
    <w:rsid w:val="000F1EA8"/>
    <w:rsid w:val="000F4CCE"/>
    <w:rsid w:val="00102F90"/>
    <w:rsid w:val="001043EB"/>
    <w:rsid w:val="00104D02"/>
    <w:rsid w:val="00107E6B"/>
    <w:rsid w:val="00115DEA"/>
    <w:rsid w:val="00116DA3"/>
    <w:rsid w:val="00121B33"/>
    <w:rsid w:val="00122B82"/>
    <w:rsid w:val="0012420E"/>
    <w:rsid w:val="00130091"/>
    <w:rsid w:val="00130A2E"/>
    <w:rsid w:val="00131723"/>
    <w:rsid w:val="00140125"/>
    <w:rsid w:val="001418BD"/>
    <w:rsid w:val="00141935"/>
    <w:rsid w:val="00147476"/>
    <w:rsid w:val="00152568"/>
    <w:rsid w:val="00167679"/>
    <w:rsid w:val="00167FC8"/>
    <w:rsid w:val="00171BD4"/>
    <w:rsid w:val="00172D8B"/>
    <w:rsid w:val="00182BF0"/>
    <w:rsid w:val="00186474"/>
    <w:rsid w:val="001876DF"/>
    <w:rsid w:val="00187BBB"/>
    <w:rsid w:val="00192C0C"/>
    <w:rsid w:val="00197AAA"/>
    <w:rsid w:val="001A047E"/>
    <w:rsid w:val="001A0C4E"/>
    <w:rsid w:val="001A112F"/>
    <w:rsid w:val="001A15D0"/>
    <w:rsid w:val="001A55EB"/>
    <w:rsid w:val="001B4617"/>
    <w:rsid w:val="001B6CA8"/>
    <w:rsid w:val="001C1E4C"/>
    <w:rsid w:val="001C2BB6"/>
    <w:rsid w:val="001C5016"/>
    <w:rsid w:val="001D2BC7"/>
    <w:rsid w:val="001D440B"/>
    <w:rsid w:val="001D4894"/>
    <w:rsid w:val="001D4BB8"/>
    <w:rsid w:val="001D585F"/>
    <w:rsid w:val="001D7D8F"/>
    <w:rsid w:val="001E2648"/>
    <w:rsid w:val="001E45E5"/>
    <w:rsid w:val="001E6218"/>
    <w:rsid w:val="001F1956"/>
    <w:rsid w:val="001F21C8"/>
    <w:rsid w:val="001F4279"/>
    <w:rsid w:val="001F43ED"/>
    <w:rsid w:val="001F79AB"/>
    <w:rsid w:val="00201808"/>
    <w:rsid w:val="0021110C"/>
    <w:rsid w:val="00212AFE"/>
    <w:rsid w:val="00215192"/>
    <w:rsid w:val="00217C5A"/>
    <w:rsid w:val="00220814"/>
    <w:rsid w:val="0022536C"/>
    <w:rsid w:val="00225753"/>
    <w:rsid w:val="002263E0"/>
    <w:rsid w:val="002268A3"/>
    <w:rsid w:val="00235CE9"/>
    <w:rsid w:val="00243DCC"/>
    <w:rsid w:val="00246B69"/>
    <w:rsid w:val="00251D09"/>
    <w:rsid w:val="0026038A"/>
    <w:rsid w:val="00260C9F"/>
    <w:rsid w:val="0027219A"/>
    <w:rsid w:val="002726D1"/>
    <w:rsid w:val="00272D61"/>
    <w:rsid w:val="00275200"/>
    <w:rsid w:val="0029115D"/>
    <w:rsid w:val="00291D3A"/>
    <w:rsid w:val="002A15EC"/>
    <w:rsid w:val="002A6DA1"/>
    <w:rsid w:val="002A7D0E"/>
    <w:rsid w:val="002B276A"/>
    <w:rsid w:val="002B55A6"/>
    <w:rsid w:val="002B637E"/>
    <w:rsid w:val="002C03D6"/>
    <w:rsid w:val="002D1236"/>
    <w:rsid w:val="002D17C9"/>
    <w:rsid w:val="002D2679"/>
    <w:rsid w:val="002D7CCF"/>
    <w:rsid w:val="002E11E1"/>
    <w:rsid w:val="002E1AF5"/>
    <w:rsid w:val="002E79F6"/>
    <w:rsid w:val="002F18AE"/>
    <w:rsid w:val="002F4188"/>
    <w:rsid w:val="002F5F44"/>
    <w:rsid w:val="002F6A3C"/>
    <w:rsid w:val="00300D4E"/>
    <w:rsid w:val="003029E3"/>
    <w:rsid w:val="003046D2"/>
    <w:rsid w:val="00310310"/>
    <w:rsid w:val="003108B0"/>
    <w:rsid w:val="003112A2"/>
    <w:rsid w:val="00311808"/>
    <w:rsid w:val="00312F67"/>
    <w:rsid w:val="003147F4"/>
    <w:rsid w:val="00315A64"/>
    <w:rsid w:val="00315B7B"/>
    <w:rsid w:val="00327382"/>
    <w:rsid w:val="00336BD2"/>
    <w:rsid w:val="00346EE4"/>
    <w:rsid w:val="00347D37"/>
    <w:rsid w:val="00350DA5"/>
    <w:rsid w:val="003520ED"/>
    <w:rsid w:val="00353A12"/>
    <w:rsid w:val="0035482A"/>
    <w:rsid w:val="00354D10"/>
    <w:rsid w:val="003636B5"/>
    <w:rsid w:val="00364332"/>
    <w:rsid w:val="0037019E"/>
    <w:rsid w:val="00372682"/>
    <w:rsid w:val="00375DB8"/>
    <w:rsid w:val="003811B9"/>
    <w:rsid w:val="00381C42"/>
    <w:rsid w:val="0038308F"/>
    <w:rsid w:val="00386ACA"/>
    <w:rsid w:val="00387783"/>
    <w:rsid w:val="003930F9"/>
    <w:rsid w:val="00394A5D"/>
    <w:rsid w:val="00397BCC"/>
    <w:rsid w:val="003A1FD9"/>
    <w:rsid w:val="003A2246"/>
    <w:rsid w:val="003A544C"/>
    <w:rsid w:val="003B002E"/>
    <w:rsid w:val="003B057D"/>
    <w:rsid w:val="003B2B46"/>
    <w:rsid w:val="003B78F6"/>
    <w:rsid w:val="003C1C0E"/>
    <w:rsid w:val="003C26FC"/>
    <w:rsid w:val="003C6343"/>
    <w:rsid w:val="003C6AB4"/>
    <w:rsid w:val="003C719A"/>
    <w:rsid w:val="003D3AE3"/>
    <w:rsid w:val="003D73DD"/>
    <w:rsid w:val="003D7EFC"/>
    <w:rsid w:val="003E144C"/>
    <w:rsid w:val="003E55E7"/>
    <w:rsid w:val="003E584A"/>
    <w:rsid w:val="003E7F21"/>
    <w:rsid w:val="003F12B4"/>
    <w:rsid w:val="003F1E0E"/>
    <w:rsid w:val="003F76CD"/>
    <w:rsid w:val="00400F72"/>
    <w:rsid w:val="00403535"/>
    <w:rsid w:val="00403CC0"/>
    <w:rsid w:val="004043E0"/>
    <w:rsid w:val="004049A1"/>
    <w:rsid w:val="00404A98"/>
    <w:rsid w:val="004203C1"/>
    <w:rsid w:val="00425D5D"/>
    <w:rsid w:val="004273EE"/>
    <w:rsid w:val="0043112B"/>
    <w:rsid w:val="004319D6"/>
    <w:rsid w:val="0043379E"/>
    <w:rsid w:val="004352F0"/>
    <w:rsid w:val="00443FF5"/>
    <w:rsid w:val="00445EC0"/>
    <w:rsid w:val="00451856"/>
    <w:rsid w:val="0045362E"/>
    <w:rsid w:val="00453D76"/>
    <w:rsid w:val="004551EB"/>
    <w:rsid w:val="00461C38"/>
    <w:rsid w:val="004636DA"/>
    <w:rsid w:val="004661C9"/>
    <w:rsid w:val="00467450"/>
    <w:rsid w:val="00467753"/>
    <w:rsid w:val="00467E7A"/>
    <w:rsid w:val="00467F24"/>
    <w:rsid w:val="004741CA"/>
    <w:rsid w:val="00476BC7"/>
    <w:rsid w:val="00476E08"/>
    <w:rsid w:val="00476FA8"/>
    <w:rsid w:val="00481DBC"/>
    <w:rsid w:val="00482B59"/>
    <w:rsid w:val="00486629"/>
    <w:rsid w:val="00491651"/>
    <w:rsid w:val="00493B03"/>
    <w:rsid w:val="004944DB"/>
    <w:rsid w:val="00494743"/>
    <w:rsid w:val="00494E7E"/>
    <w:rsid w:val="00495635"/>
    <w:rsid w:val="00495792"/>
    <w:rsid w:val="004964D0"/>
    <w:rsid w:val="004A061C"/>
    <w:rsid w:val="004A2E45"/>
    <w:rsid w:val="004A2E9B"/>
    <w:rsid w:val="004A41A9"/>
    <w:rsid w:val="004A5A1D"/>
    <w:rsid w:val="004A7D77"/>
    <w:rsid w:val="004B23EE"/>
    <w:rsid w:val="004C0971"/>
    <w:rsid w:val="004C0C08"/>
    <w:rsid w:val="004C1D4B"/>
    <w:rsid w:val="004C24AC"/>
    <w:rsid w:val="004C42A2"/>
    <w:rsid w:val="004C6FE8"/>
    <w:rsid w:val="004C7D08"/>
    <w:rsid w:val="004D687C"/>
    <w:rsid w:val="004E6CD9"/>
    <w:rsid w:val="004E77C1"/>
    <w:rsid w:val="004F4B1E"/>
    <w:rsid w:val="004F5933"/>
    <w:rsid w:val="004F604D"/>
    <w:rsid w:val="00500837"/>
    <w:rsid w:val="00503D86"/>
    <w:rsid w:val="00505CBB"/>
    <w:rsid w:val="00512D07"/>
    <w:rsid w:val="00513B1B"/>
    <w:rsid w:val="00515F54"/>
    <w:rsid w:val="00517F54"/>
    <w:rsid w:val="00523ED0"/>
    <w:rsid w:val="00526D91"/>
    <w:rsid w:val="00527179"/>
    <w:rsid w:val="00531660"/>
    <w:rsid w:val="0053245C"/>
    <w:rsid w:val="00533D6B"/>
    <w:rsid w:val="00534329"/>
    <w:rsid w:val="00535809"/>
    <w:rsid w:val="00536706"/>
    <w:rsid w:val="00542B7C"/>
    <w:rsid w:val="005462D7"/>
    <w:rsid w:val="005556F0"/>
    <w:rsid w:val="00557997"/>
    <w:rsid w:val="005656C3"/>
    <w:rsid w:val="00566C70"/>
    <w:rsid w:val="00571270"/>
    <w:rsid w:val="0057158F"/>
    <w:rsid w:val="00576514"/>
    <w:rsid w:val="00576B79"/>
    <w:rsid w:val="00576CEE"/>
    <w:rsid w:val="00580477"/>
    <w:rsid w:val="00580DC1"/>
    <w:rsid w:val="005814F7"/>
    <w:rsid w:val="0058566C"/>
    <w:rsid w:val="00585ABF"/>
    <w:rsid w:val="005873D4"/>
    <w:rsid w:val="00591FD8"/>
    <w:rsid w:val="00594A63"/>
    <w:rsid w:val="00595C23"/>
    <w:rsid w:val="00595DA3"/>
    <w:rsid w:val="005A15EA"/>
    <w:rsid w:val="005A392D"/>
    <w:rsid w:val="005A3FC8"/>
    <w:rsid w:val="005B04F7"/>
    <w:rsid w:val="005B0968"/>
    <w:rsid w:val="005C322C"/>
    <w:rsid w:val="005C3DA0"/>
    <w:rsid w:val="005D1DF7"/>
    <w:rsid w:val="005D53A0"/>
    <w:rsid w:val="005D6C23"/>
    <w:rsid w:val="005D7EA1"/>
    <w:rsid w:val="005E2B8C"/>
    <w:rsid w:val="005E40B9"/>
    <w:rsid w:val="005F2C6E"/>
    <w:rsid w:val="005F370D"/>
    <w:rsid w:val="005F63DB"/>
    <w:rsid w:val="00600092"/>
    <w:rsid w:val="00602C7D"/>
    <w:rsid w:val="006065DF"/>
    <w:rsid w:val="00607464"/>
    <w:rsid w:val="00607F30"/>
    <w:rsid w:val="00615A05"/>
    <w:rsid w:val="00620BBC"/>
    <w:rsid w:val="00620CF1"/>
    <w:rsid w:val="006242BF"/>
    <w:rsid w:val="00630F50"/>
    <w:rsid w:val="00631C9D"/>
    <w:rsid w:val="00633773"/>
    <w:rsid w:val="00636DC9"/>
    <w:rsid w:val="00641F8D"/>
    <w:rsid w:val="00646ED0"/>
    <w:rsid w:val="0064700E"/>
    <w:rsid w:val="00650C67"/>
    <w:rsid w:val="00652882"/>
    <w:rsid w:val="00654ADC"/>
    <w:rsid w:val="00660FEB"/>
    <w:rsid w:val="00662E51"/>
    <w:rsid w:val="00663729"/>
    <w:rsid w:val="0066477D"/>
    <w:rsid w:val="0066484A"/>
    <w:rsid w:val="00665A4B"/>
    <w:rsid w:val="006718D6"/>
    <w:rsid w:val="00681710"/>
    <w:rsid w:val="00684303"/>
    <w:rsid w:val="00685A32"/>
    <w:rsid w:val="00685DE7"/>
    <w:rsid w:val="00686066"/>
    <w:rsid w:val="00686A02"/>
    <w:rsid w:val="00686AB3"/>
    <w:rsid w:val="0069422B"/>
    <w:rsid w:val="00695206"/>
    <w:rsid w:val="00696E75"/>
    <w:rsid w:val="006A2F35"/>
    <w:rsid w:val="006A3DE2"/>
    <w:rsid w:val="006A6FCD"/>
    <w:rsid w:val="006B0CDF"/>
    <w:rsid w:val="006B2F3D"/>
    <w:rsid w:val="006C4CBA"/>
    <w:rsid w:val="006C5130"/>
    <w:rsid w:val="006D423D"/>
    <w:rsid w:val="006D51CB"/>
    <w:rsid w:val="006D6890"/>
    <w:rsid w:val="006E1E95"/>
    <w:rsid w:val="006F1DA0"/>
    <w:rsid w:val="006F58F5"/>
    <w:rsid w:val="0070029F"/>
    <w:rsid w:val="007035E1"/>
    <w:rsid w:val="00703A3E"/>
    <w:rsid w:val="007121BD"/>
    <w:rsid w:val="00712530"/>
    <w:rsid w:val="00714D69"/>
    <w:rsid w:val="0071684C"/>
    <w:rsid w:val="007212A2"/>
    <w:rsid w:val="00722AC2"/>
    <w:rsid w:val="007236A9"/>
    <w:rsid w:val="007323CC"/>
    <w:rsid w:val="00733FDF"/>
    <w:rsid w:val="00740281"/>
    <w:rsid w:val="00740553"/>
    <w:rsid w:val="00755194"/>
    <w:rsid w:val="0075586D"/>
    <w:rsid w:val="00755EA3"/>
    <w:rsid w:val="00761D9E"/>
    <w:rsid w:val="007634D6"/>
    <w:rsid w:val="0076486D"/>
    <w:rsid w:val="00771071"/>
    <w:rsid w:val="00773FE2"/>
    <w:rsid w:val="00774177"/>
    <w:rsid w:val="00777638"/>
    <w:rsid w:val="00777E80"/>
    <w:rsid w:val="007806F9"/>
    <w:rsid w:val="00783293"/>
    <w:rsid w:val="00784BC7"/>
    <w:rsid w:val="0078556F"/>
    <w:rsid w:val="00786D25"/>
    <w:rsid w:val="007A1726"/>
    <w:rsid w:val="007A3CFF"/>
    <w:rsid w:val="007A4743"/>
    <w:rsid w:val="007A7C24"/>
    <w:rsid w:val="007B0356"/>
    <w:rsid w:val="007B105F"/>
    <w:rsid w:val="007B447C"/>
    <w:rsid w:val="007B4BD2"/>
    <w:rsid w:val="007C0968"/>
    <w:rsid w:val="007D206F"/>
    <w:rsid w:val="007D6580"/>
    <w:rsid w:val="007E0634"/>
    <w:rsid w:val="007E3A52"/>
    <w:rsid w:val="007F0AC4"/>
    <w:rsid w:val="007F1237"/>
    <w:rsid w:val="007F4F8C"/>
    <w:rsid w:val="007F7389"/>
    <w:rsid w:val="008003A3"/>
    <w:rsid w:val="00800B36"/>
    <w:rsid w:val="00810523"/>
    <w:rsid w:val="008114A2"/>
    <w:rsid w:val="008163E5"/>
    <w:rsid w:val="00822B38"/>
    <w:rsid w:val="00822E8B"/>
    <w:rsid w:val="00825F5A"/>
    <w:rsid w:val="008303B4"/>
    <w:rsid w:val="00833880"/>
    <w:rsid w:val="00840A44"/>
    <w:rsid w:val="00842D0F"/>
    <w:rsid w:val="00847910"/>
    <w:rsid w:val="008521ED"/>
    <w:rsid w:val="00854D76"/>
    <w:rsid w:val="00863D42"/>
    <w:rsid w:val="00867B0E"/>
    <w:rsid w:val="008701DE"/>
    <w:rsid w:val="0087485F"/>
    <w:rsid w:val="00875B58"/>
    <w:rsid w:val="0088462B"/>
    <w:rsid w:val="00884DDC"/>
    <w:rsid w:val="00887AF1"/>
    <w:rsid w:val="00894A12"/>
    <w:rsid w:val="008A05F1"/>
    <w:rsid w:val="008A3D16"/>
    <w:rsid w:val="008A4C17"/>
    <w:rsid w:val="008A4F8B"/>
    <w:rsid w:val="008B6A80"/>
    <w:rsid w:val="008C167F"/>
    <w:rsid w:val="008C38A5"/>
    <w:rsid w:val="008C56EA"/>
    <w:rsid w:val="008D5449"/>
    <w:rsid w:val="008F155F"/>
    <w:rsid w:val="008F2EE0"/>
    <w:rsid w:val="008F2F13"/>
    <w:rsid w:val="008F60E7"/>
    <w:rsid w:val="008F625D"/>
    <w:rsid w:val="00907E58"/>
    <w:rsid w:val="009163A6"/>
    <w:rsid w:val="009202E2"/>
    <w:rsid w:val="00923BA2"/>
    <w:rsid w:val="00930F09"/>
    <w:rsid w:val="00933F8C"/>
    <w:rsid w:val="009368B6"/>
    <w:rsid w:val="00945192"/>
    <w:rsid w:val="00945AA3"/>
    <w:rsid w:val="00946584"/>
    <w:rsid w:val="00947685"/>
    <w:rsid w:val="00954269"/>
    <w:rsid w:val="00956F2D"/>
    <w:rsid w:val="009622C2"/>
    <w:rsid w:val="0096320E"/>
    <w:rsid w:val="00965102"/>
    <w:rsid w:val="00965BE6"/>
    <w:rsid w:val="00965F9F"/>
    <w:rsid w:val="00975864"/>
    <w:rsid w:val="0098270B"/>
    <w:rsid w:val="00994B8A"/>
    <w:rsid w:val="009B1E20"/>
    <w:rsid w:val="009B1E51"/>
    <w:rsid w:val="009B3FA5"/>
    <w:rsid w:val="009B563A"/>
    <w:rsid w:val="009C0FFB"/>
    <w:rsid w:val="009C3207"/>
    <w:rsid w:val="009C7C48"/>
    <w:rsid w:val="009D58B5"/>
    <w:rsid w:val="009D5DAE"/>
    <w:rsid w:val="009E2DCD"/>
    <w:rsid w:val="009E3197"/>
    <w:rsid w:val="009E508F"/>
    <w:rsid w:val="009E7C27"/>
    <w:rsid w:val="009F091B"/>
    <w:rsid w:val="009F42F6"/>
    <w:rsid w:val="009F44AF"/>
    <w:rsid w:val="009F7160"/>
    <w:rsid w:val="00A009F4"/>
    <w:rsid w:val="00A04A59"/>
    <w:rsid w:val="00A05F26"/>
    <w:rsid w:val="00A0647E"/>
    <w:rsid w:val="00A10667"/>
    <w:rsid w:val="00A1256D"/>
    <w:rsid w:val="00A1639A"/>
    <w:rsid w:val="00A1754E"/>
    <w:rsid w:val="00A30AB5"/>
    <w:rsid w:val="00A34164"/>
    <w:rsid w:val="00A373E0"/>
    <w:rsid w:val="00A44A15"/>
    <w:rsid w:val="00A53479"/>
    <w:rsid w:val="00A55680"/>
    <w:rsid w:val="00A5738C"/>
    <w:rsid w:val="00A61BB3"/>
    <w:rsid w:val="00A63957"/>
    <w:rsid w:val="00A67A78"/>
    <w:rsid w:val="00A7390C"/>
    <w:rsid w:val="00A80886"/>
    <w:rsid w:val="00A80B73"/>
    <w:rsid w:val="00A92B34"/>
    <w:rsid w:val="00A93B2B"/>
    <w:rsid w:val="00AA026F"/>
    <w:rsid w:val="00AA042B"/>
    <w:rsid w:val="00AA43A3"/>
    <w:rsid w:val="00AA47E2"/>
    <w:rsid w:val="00AB63FD"/>
    <w:rsid w:val="00AB6F6C"/>
    <w:rsid w:val="00AC1D95"/>
    <w:rsid w:val="00AC45B4"/>
    <w:rsid w:val="00AC518B"/>
    <w:rsid w:val="00AC6E37"/>
    <w:rsid w:val="00AD5E67"/>
    <w:rsid w:val="00AE037F"/>
    <w:rsid w:val="00AE20EB"/>
    <w:rsid w:val="00AE7B68"/>
    <w:rsid w:val="00AF4035"/>
    <w:rsid w:val="00AF56D5"/>
    <w:rsid w:val="00AF774A"/>
    <w:rsid w:val="00B02FEE"/>
    <w:rsid w:val="00B0509B"/>
    <w:rsid w:val="00B05C95"/>
    <w:rsid w:val="00B060CE"/>
    <w:rsid w:val="00B0677F"/>
    <w:rsid w:val="00B078CB"/>
    <w:rsid w:val="00B21A41"/>
    <w:rsid w:val="00B277B3"/>
    <w:rsid w:val="00B277B7"/>
    <w:rsid w:val="00B3403B"/>
    <w:rsid w:val="00B37771"/>
    <w:rsid w:val="00B40774"/>
    <w:rsid w:val="00B51950"/>
    <w:rsid w:val="00B5643F"/>
    <w:rsid w:val="00B60324"/>
    <w:rsid w:val="00B6137F"/>
    <w:rsid w:val="00B6164B"/>
    <w:rsid w:val="00B64B67"/>
    <w:rsid w:val="00B64BC5"/>
    <w:rsid w:val="00B66C7D"/>
    <w:rsid w:val="00B70F3E"/>
    <w:rsid w:val="00B71EC3"/>
    <w:rsid w:val="00B743FB"/>
    <w:rsid w:val="00B75B96"/>
    <w:rsid w:val="00B75FA8"/>
    <w:rsid w:val="00B76504"/>
    <w:rsid w:val="00B82ACD"/>
    <w:rsid w:val="00B85446"/>
    <w:rsid w:val="00B91BD9"/>
    <w:rsid w:val="00B91F0E"/>
    <w:rsid w:val="00B956F1"/>
    <w:rsid w:val="00B964F2"/>
    <w:rsid w:val="00BA000B"/>
    <w:rsid w:val="00BA7F8F"/>
    <w:rsid w:val="00BB100D"/>
    <w:rsid w:val="00BB11EA"/>
    <w:rsid w:val="00BB18AE"/>
    <w:rsid w:val="00BB63AD"/>
    <w:rsid w:val="00BC0EEC"/>
    <w:rsid w:val="00BC3065"/>
    <w:rsid w:val="00BC3B9E"/>
    <w:rsid w:val="00BC48E5"/>
    <w:rsid w:val="00BC572F"/>
    <w:rsid w:val="00BC57FA"/>
    <w:rsid w:val="00BC6DA5"/>
    <w:rsid w:val="00BC7F2A"/>
    <w:rsid w:val="00BD13DA"/>
    <w:rsid w:val="00BD1BF7"/>
    <w:rsid w:val="00BE60F7"/>
    <w:rsid w:val="00BE6E1F"/>
    <w:rsid w:val="00BE7E1F"/>
    <w:rsid w:val="00BF0E67"/>
    <w:rsid w:val="00BF7723"/>
    <w:rsid w:val="00C03C76"/>
    <w:rsid w:val="00C049DD"/>
    <w:rsid w:val="00C07879"/>
    <w:rsid w:val="00C169F8"/>
    <w:rsid w:val="00C200C2"/>
    <w:rsid w:val="00C234A6"/>
    <w:rsid w:val="00C267E4"/>
    <w:rsid w:val="00C329D1"/>
    <w:rsid w:val="00C33313"/>
    <w:rsid w:val="00C3547D"/>
    <w:rsid w:val="00C37ED8"/>
    <w:rsid w:val="00C40107"/>
    <w:rsid w:val="00C42E78"/>
    <w:rsid w:val="00C445FA"/>
    <w:rsid w:val="00C44845"/>
    <w:rsid w:val="00C47910"/>
    <w:rsid w:val="00C47F4A"/>
    <w:rsid w:val="00C56FC6"/>
    <w:rsid w:val="00C5795D"/>
    <w:rsid w:val="00C603A1"/>
    <w:rsid w:val="00C71F46"/>
    <w:rsid w:val="00C74883"/>
    <w:rsid w:val="00C75F66"/>
    <w:rsid w:val="00C807FA"/>
    <w:rsid w:val="00C8417D"/>
    <w:rsid w:val="00C87DC4"/>
    <w:rsid w:val="00C91094"/>
    <w:rsid w:val="00C92365"/>
    <w:rsid w:val="00C93425"/>
    <w:rsid w:val="00CA2C4B"/>
    <w:rsid w:val="00CA3115"/>
    <w:rsid w:val="00CA6825"/>
    <w:rsid w:val="00CB4AB3"/>
    <w:rsid w:val="00CC02C9"/>
    <w:rsid w:val="00CC522B"/>
    <w:rsid w:val="00CD09D3"/>
    <w:rsid w:val="00CD162C"/>
    <w:rsid w:val="00CD67F4"/>
    <w:rsid w:val="00CD7AF4"/>
    <w:rsid w:val="00CE3C9F"/>
    <w:rsid w:val="00CE579C"/>
    <w:rsid w:val="00CF3507"/>
    <w:rsid w:val="00D014AA"/>
    <w:rsid w:val="00D0417B"/>
    <w:rsid w:val="00D04A62"/>
    <w:rsid w:val="00D06D8B"/>
    <w:rsid w:val="00D15511"/>
    <w:rsid w:val="00D177B8"/>
    <w:rsid w:val="00D206FC"/>
    <w:rsid w:val="00D23A92"/>
    <w:rsid w:val="00D25D2F"/>
    <w:rsid w:val="00D27DA0"/>
    <w:rsid w:val="00D30FF8"/>
    <w:rsid w:val="00D36BCB"/>
    <w:rsid w:val="00D36E84"/>
    <w:rsid w:val="00D456F7"/>
    <w:rsid w:val="00D46A25"/>
    <w:rsid w:val="00D47699"/>
    <w:rsid w:val="00D5764C"/>
    <w:rsid w:val="00D632C5"/>
    <w:rsid w:val="00D665A7"/>
    <w:rsid w:val="00D66864"/>
    <w:rsid w:val="00D7033E"/>
    <w:rsid w:val="00D70BC2"/>
    <w:rsid w:val="00D72AC4"/>
    <w:rsid w:val="00D72BA1"/>
    <w:rsid w:val="00D74049"/>
    <w:rsid w:val="00D84DD7"/>
    <w:rsid w:val="00D879AC"/>
    <w:rsid w:val="00D90407"/>
    <w:rsid w:val="00D91A1C"/>
    <w:rsid w:val="00D91E8B"/>
    <w:rsid w:val="00D93623"/>
    <w:rsid w:val="00D93D14"/>
    <w:rsid w:val="00DA03DA"/>
    <w:rsid w:val="00DB1125"/>
    <w:rsid w:val="00DB2F15"/>
    <w:rsid w:val="00DB492B"/>
    <w:rsid w:val="00DB6A6B"/>
    <w:rsid w:val="00DB7F2D"/>
    <w:rsid w:val="00DC09B7"/>
    <w:rsid w:val="00DC121F"/>
    <w:rsid w:val="00DC2796"/>
    <w:rsid w:val="00DC2934"/>
    <w:rsid w:val="00DC312A"/>
    <w:rsid w:val="00DC3BC4"/>
    <w:rsid w:val="00DD4718"/>
    <w:rsid w:val="00DD47FA"/>
    <w:rsid w:val="00DD6569"/>
    <w:rsid w:val="00DD743B"/>
    <w:rsid w:val="00DE40CD"/>
    <w:rsid w:val="00DF2182"/>
    <w:rsid w:val="00DF2C6C"/>
    <w:rsid w:val="00DF4758"/>
    <w:rsid w:val="00DF4F32"/>
    <w:rsid w:val="00DF4F96"/>
    <w:rsid w:val="00DF5D0A"/>
    <w:rsid w:val="00DF754D"/>
    <w:rsid w:val="00E01FA1"/>
    <w:rsid w:val="00E03316"/>
    <w:rsid w:val="00E05DFA"/>
    <w:rsid w:val="00E06D6B"/>
    <w:rsid w:val="00E07A57"/>
    <w:rsid w:val="00E07BEB"/>
    <w:rsid w:val="00E129EA"/>
    <w:rsid w:val="00E138C3"/>
    <w:rsid w:val="00E14FBC"/>
    <w:rsid w:val="00E206FE"/>
    <w:rsid w:val="00E22217"/>
    <w:rsid w:val="00E25B7B"/>
    <w:rsid w:val="00E26EC6"/>
    <w:rsid w:val="00E301F4"/>
    <w:rsid w:val="00E3085C"/>
    <w:rsid w:val="00E31FC7"/>
    <w:rsid w:val="00E35E39"/>
    <w:rsid w:val="00E37010"/>
    <w:rsid w:val="00E426BD"/>
    <w:rsid w:val="00E42A4B"/>
    <w:rsid w:val="00E45EB9"/>
    <w:rsid w:val="00E5105B"/>
    <w:rsid w:val="00E5126D"/>
    <w:rsid w:val="00E5368C"/>
    <w:rsid w:val="00E569E9"/>
    <w:rsid w:val="00E605C3"/>
    <w:rsid w:val="00E629CA"/>
    <w:rsid w:val="00E653CC"/>
    <w:rsid w:val="00E65700"/>
    <w:rsid w:val="00E7616A"/>
    <w:rsid w:val="00E80799"/>
    <w:rsid w:val="00E826AD"/>
    <w:rsid w:val="00E8591D"/>
    <w:rsid w:val="00E926C4"/>
    <w:rsid w:val="00E929ED"/>
    <w:rsid w:val="00E92FDE"/>
    <w:rsid w:val="00E93B3A"/>
    <w:rsid w:val="00E94C8E"/>
    <w:rsid w:val="00E97FBE"/>
    <w:rsid w:val="00EA3071"/>
    <w:rsid w:val="00EA5A34"/>
    <w:rsid w:val="00EA5C50"/>
    <w:rsid w:val="00EB0A61"/>
    <w:rsid w:val="00EB154A"/>
    <w:rsid w:val="00EB173D"/>
    <w:rsid w:val="00EB3B94"/>
    <w:rsid w:val="00EB4249"/>
    <w:rsid w:val="00EB7491"/>
    <w:rsid w:val="00EC06CC"/>
    <w:rsid w:val="00EC248A"/>
    <w:rsid w:val="00ED201F"/>
    <w:rsid w:val="00ED2360"/>
    <w:rsid w:val="00ED3B22"/>
    <w:rsid w:val="00ED3B7E"/>
    <w:rsid w:val="00ED483C"/>
    <w:rsid w:val="00ED4D49"/>
    <w:rsid w:val="00ED5D27"/>
    <w:rsid w:val="00ED61E4"/>
    <w:rsid w:val="00EE07B8"/>
    <w:rsid w:val="00EE12D1"/>
    <w:rsid w:val="00EE3173"/>
    <w:rsid w:val="00EF2828"/>
    <w:rsid w:val="00EF68C2"/>
    <w:rsid w:val="00F00EAA"/>
    <w:rsid w:val="00F02DE4"/>
    <w:rsid w:val="00F0471D"/>
    <w:rsid w:val="00F0534F"/>
    <w:rsid w:val="00F106B1"/>
    <w:rsid w:val="00F1172A"/>
    <w:rsid w:val="00F13DFA"/>
    <w:rsid w:val="00F16019"/>
    <w:rsid w:val="00F21D17"/>
    <w:rsid w:val="00F234FE"/>
    <w:rsid w:val="00F25CA3"/>
    <w:rsid w:val="00F2698A"/>
    <w:rsid w:val="00F302E4"/>
    <w:rsid w:val="00F30AC1"/>
    <w:rsid w:val="00F312EF"/>
    <w:rsid w:val="00F32380"/>
    <w:rsid w:val="00F46273"/>
    <w:rsid w:val="00F603A0"/>
    <w:rsid w:val="00F60418"/>
    <w:rsid w:val="00F61B44"/>
    <w:rsid w:val="00F81C0E"/>
    <w:rsid w:val="00F81C13"/>
    <w:rsid w:val="00F86356"/>
    <w:rsid w:val="00F975A7"/>
    <w:rsid w:val="00FA25DD"/>
    <w:rsid w:val="00FA30DC"/>
    <w:rsid w:val="00FA628D"/>
    <w:rsid w:val="00FB476C"/>
    <w:rsid w:val="00FB5C57"/>
    <w:rsid w:val="00FC0532"/>
    <w:rsid w:val="00FC5126"/>
    <w:rsid w:val="00FD20F9"/>
    <w:rsid w:val="00FE176D"/>
    <w:rsid w:val="00FE47AA"/>
    <w:rsid w:val="00FE6168"/>
    <w:rsid w:val="00FF673A"/>
    <w:rsid w:val="00FF6EA2"/>
    <w:rsid w:val="00FF73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E36B"/>
  <w15:chartTrackingRefBased/>
  <w15:docId w15:val="{B901B4B9-1E4B-461D-AE8A-EC0A60D5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66"/>
    <w:pPr>
      <w:spacing w:after="160" w:line="259" w:lineRule="auto"/>
    </w:pPr>
    <w:rPr>
      <w:sz w:val="22"/>
      <w:szCs w:val="22"/>
      <w:lang w:eastAsia="en-US"/>
    </w:rPr>
  </w:style>
  <w:style w:type="paragraph" w:styleId="Heading1">
    <w:name w:val="heading 1"/>
    <w:basedOn w:val="Normal"/>
    <w:next w:val="Normal"/>
    <w:link w:val="Heading1Char"/>
    <w:uiPriority w:val="9"/>
    <w:qFormat/>
    <w:rsid w:val="001F43ED"/>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631C9D"/>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5462D7"/>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3ED"/>
    <w:rPr>
      <w:rFonts w:eastAsia="Times New Roman"/>
      <w:sz w:val="22"/>
      <w:szCs w:val="22"/>
      <w:lang w:val="en-US" w:eastAsia="en-US"/>
    </w:rPr>
  </w:style>
  <w:style w:type="character" w:customStyle="1" w:styleId="NoSpacingChar">
    <w:name w:val="No Spacing Char"/>
    <w:link w:val="NoSpacing"/>
    <w:uiPriority w:val="1"/>
    <w:rsid w:val="001F43ED"/>
    <w:rPr>
      <w:rFonts w:eastAsia="Times New Roman"/>
      <w:lang w:val="en-US"/>
    </w:rPr>
  </w:style>
  <w:style w:type="paragraph" w:styleId="ListParagraph">
    <w:name w:val="List Paragraph"/>
    <w:basedOn w:val="Normal"/>
    <w:uiPriority w:val="34"/>
    <w:qFormat/>
    <w:rsid w:val="001F43ED"/>
    <w:pPr>
      <w:ind w:left="720"/>
      <w:contextualSpacing/>
    </w:pPr>
  </w:style>
  <w:style w:type="character" w:customStyle="1" w:styleId="Heading1Char">
    <w:name w:val="Heading 1 Char"/>
    <w:link w:val="Heading1"/>
    <w:uiPriority w:val="9"/>
    <w:rsid w:val="001F43ED"/>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qFormat/>
    <w:rsid w:val="00AE7B68"/>
    <w:pPr>
      <w:outlineLvl w:val="9"/>
    </w:pPr>
    <w:rPr>
      <w:lang w:val="en-US"/>
    </w:rPr>
  </w:style>
  <w:style w:type="paragraph" w:styleId="TOC1">
    <w:name w:val="toc 1"/>
    <w:basedOn w:val="Normal"/>
    <w:next w:val="Normal"/>
    <w:autoRedefine/>
    <w:uiPriority w:val="39"/>
    <w:unhideWhenUsed/>
    <w:rsid w:val="00AE7B68"/>
    <w:pPr>
      <w:spacing w:after="100"/>
    </w:pPr>
  </w:style>
  <w:style w:type="character" w:styleId="Hyperlink">
    <w:name w:val="Hyperlink"/>
    <w:uiPriority w:val="99"/>
    <w:unhideWhenUsed/>
    <w:rsid w:val="00AE7B68"/>
    <w:rPr>
      <w:color w:val="0563C1"/>
      <w:u w:val="single"/>
    </w:rPr>
  </w:style>
  <w:style w:type="character" w:customStyle="1" w:styleId="Heading2Char">
    <w:name w:val="Heading 2 Char"/>
    <w:link w:val="Heading2"/>
    <w:uiPriority w:val="9"/>
    <w:rsid w:val="00631C9D"/>
    <w:rPr>
      <w:rFonts w:ascii="Calibri Light" w:eastAsia="Times New Roman" w:hAnsi="Calibri Light" w:cs="Times New Roman"/>
      <w:color w:val="2F5496"/>
      <w:sz w:val="26"/>
      <w:szCs w:val="26"/>
    </w:rPr>
  </w:style>
  <w:style w:type="paragraph" w:customStyle="1" w:styleId="Default">
    <w:name w:val="Default"/>
    <w:rsid w:val="00ED4D49"/>
    <w:pPr>
      <w:autoSpaceDE w:val="0"/>
      <w:autoSpaceDN w:val="0"/>
      <w:adjustRightInd w:val="0"/>
    </w:pPr>
    <w:rPr>
      <w:rFonts w:cs="Calibri"/>
      <w:color w:val="000000"/>
      <w:sz w:val="24"/>
      <w:szCs w:val="24"/>
      <w:lang w:eastAsia="en-US"/>
    </w:rPr>
  </w:style>
  <w:style w:type="paragraph" w:styleId="TOC2">
    <w:name w:val="toc 2"/>
    <w:basedOn w:val="Normal"/>
    <w:next w:val="Normal"/>
    <w:autoRedefine/>
    <w:uiPriority w:val="39"/>
    <w:unhideWhenUsed/>
    <w:rsid w:val="00ED4D49"/>
    <w:pPr>
      <w:spacing w:after="100"/>
      <w:ind w:left="220"/>
    </w:pPr>
  </w:style>
  <w:style w:type="paragraph" w:styleId="Footer">
    <w:name w:val="footer"/>
    <w:basedOn w:val="Normal"/>
    <w:link w:val="FooterChar"/>
    <w:uiPriority w:val="99"/>
    <w:unhideWhenUsed/>
    <w:rsid w:val="000B1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7BF"/>
  </w:style>
  <w:style w:type="character" w:styleId="UnresolvedMention">
    <w:name w:val="Unresolved Mention"/>
    <w:uiPriority w:val="99"/>
    <w:semiHidden/>
    <w:unhideWhenUsed/>
    <w:rsid w:val="00D456F7"/>
    <w:rPr>
      <w:color w:val="605E5C"/>
      <w:shd w:val="clear" w:color="auto" w:fill="E1DFDD"/>
    </w:rPr>
  </w:style>
  <w:style w:type="character" w:customStyle="1" w:styleId="Heading3Char">
    <w:name w:val="Heading 3 Char"/>
    <w:link w:val="Heading3"/>
    <w:uiPriority w:val="9"/>
    <w:rsid w:val="005462D7"/>
    <w:rPr>
      <w:rFonts w:ascii="Calibri Light" w:eastAsia="Times New Roman" w:hAnsi="Calibri Light" w:cs="Times New Roman"/>
      <w:color w:val="1F3763"/>
      <w:sz w:val="24"/>
      <w:szCs w:val="24"/>
    </w:rPr>
  </w:style>
  <w:style w:type="paragraph" w:styleId="TOC3">
    <w:name w:val="toc 3"/>
    <w:basedOn w:val="Normal"/>
    <w:next w:val="Normal"/>
    <w:autoRedefine/>
    <w:uiPriority w:val="39"/>
    <w:unhideWhenUsed/>
    <w:rsid w:val="00A30AB5"/>
    <w:pPr>
      <w:spacing w:after="100"/>
      <w:ind w:left="440"/>
    </w:pPr>
  </w:style>
  <w:style w:type="paragraph" w:styleId="NormalWeb">
    <w:name w:val="Normal (Web)"/>
    <w:basedOn w:val="Normal"/>
    <w:uiPriority w:val="99"/>
    <w:semiHidden/>
    <w:unhideWhenUsed/>
    <w:rsid w:val="00CA3115"/>
    <w:rPr>
      <w:rFonts w:ascii="Times New Roman" w:hAnsi="Times New Roman"/>
      <w:sz w:val="24"/>
      <w:szCs w:val="24"/>
    </w:rPr>
  </w:style>
  <w:style w:type="table" w:styleId="TableGrid">
    <w:name w:val="Table Grid"/>
    <w:basedOn w:val="TableNormal"/>
    <w:uiPriority w:val="39"/>
    <w:rsid w:val="00BC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3B4"/>
  </w:style>
  <w:style w:type="table" w:styleId="GridTable5Dark-Accent1">
    <w:name w:val="Grid Table 5 Dark Accent 1"/>
    <w:basedOn w:val="TableNormal"/>
    <w:uiPriority w:val="50"/>
    <w:rsid w:val="00523E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481DBC"/>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
    <w:name w:val="Grid Table 5 Dark"/>
    <w:basedOn w:val="TableNormal"/>
    <w:uiPriority w:val="50"/>
    <w:rsid w:val="00481D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4">
    <w:name w:val="Grid Table 4 Accent 4"/>
    <w:basedOn w:val="TableNormal"/>
    <w:uiPriority w:val="49"/>
    <w:rsid w:val="00DB6A6B"/>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DB6A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4-Accent1">
    <w:name w:val="Grid Table 4 Accent 1"/>
    <w:basedOn w:val="TableNormal"/>
    <w:uiPriority w:val="49"/>
    <w:rsid w:val="00DB6A6B"/>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Strong">
    <w:name w:val="Strong"/>
    <w:basedOn w:val="DefaultParagraphFont"/>
    <w:uiPriority w:val="22"/>
    <w:qFormat/>
    <w:rsid w:val="00EE0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898">
      <w:bodyDiv w:val="1"/>
      <w:marLeft w:val="0"/>
      <w:marRight w:val="0"/>
      <w:marTop w:val="0"/>
      <w:marBottom w:val="0"/>
      <w:divBdr>
        <w:top w:val="none" w:sz="0" w:space="0" w:color="auto"/>
        <w:left w:val="none" w:sz="0" w:space="0" w:color="auto"/>
        <w:bottom w:val="none" w:sz="0" w:space="0" w:color="auto"/>
        <w:right w:val="none" w:sz="0" w:space="0" w:color="auto"/>
      </w:divBdr>
    </w:div>
    <w:div w:id="3166549">
      <w:bodyDiv w:val="1"/>
      <w:marLeft w:val="0"/>
      <w:marRight w:val="0"/>
      <w:marTop w:val="0"/>
      <w:marBottom w:val="0"/>
      <w:divBdr>
        <w:top w:val="none" w:sz="0" w:space="0" w:color="auto"/>
        <w:left w:val="none" w:sz="0" w:space="0" w:color="auto"/>
        <w:bottom w:val="none" w:sz="0" w:space="0" w:color="auto"/>
        <w:right w:val="none" w:sz="0" w:space="0" w:color="auto"/>
      </w:divBdr>
    </w:div>
    <w:div w:id="18161894">
      <w:bodyDiv w:val="1"/>
      <w:marLeft w:val="0"/>
      <w:marRight w:val="0"/>
      <w:marTop w:val="0"/>
      <w:marBottom w:val="0"/>
      <w:divBdr>
        <w:top w:val="none" w:sz="0" w:space="0" w:color="auto"/>
        <w:left w:val="none" w:sz="0" w:space="0" w:color="auto"/>
        <w:bottom w:val="none" w:sz="0" w:space="0" w:color="auto"/>
        <w:right w:val="none" w:sz="0" w:space="0" w:color="auto"/>
      </w:divBdr>
    </w:div>
    <w:div w:id="20909257">
      <w:bodyDiv w:val="1"/>
      <w:marLeft w:val="0"/>
      <w:marRight w:val="0"/>
      <w:marTop w:val="0"/>
      <w:marBottom w:val="0"/>
      <w:divBdr>
        <w:top w:val="none" w:sz="0" w:space="0" w:color="auto"/>
        <w:left w:val="none" w:sz="0" w:space="0" w:color="auto"/>
        <w:bottom w:val="none" w:sz="0" w:space="0" w:color="auto"/>
        <w:right w:val="none" w:sz="0" w:space="0" w:color="auto"/>
      </w:divBdr>
    </w:div>
    <w:div w:id="67581175">
      <w:bodyDiv w:val="1"/>
      <w:marLeft w:val="0"/>
      <w:marRight w:val="0"/>
      <w:marTop w:val="0"/>
      <w:marBottom w:val="0"/>
      <w:divBdr>
        <w:top w:val="none" w:sz="0" w:space="0" w:color="auto"/>
        <w:left w:val="none" w:sz="0" w:space="0" w:color="auto"/>
        <w:bottom w:val="none" w:sz="0" w:space="0" w:color="auto"/>
        <w:right w:val="none" w:sz="0" w:space="0" w:color="auto"/>
      </w:divBdr>
    </w:div>
    <w:div w:id="68040783">
      <w:bodyDiv w:val="1"/>
      <w:marLeft w:val="0"/>
      <w:marRight w:val="0"/>
      <w:marTop w:val="0"/>
      <w:marBottom w:val="0"/>
      <w:divBdr>
        <w:top w:val="none" w:sz="0" w:space="0" w:color="auto"/>
        <w:left w:val="none" w:sz="0" w:space="0" w:color="auto"/>
        <w:bottom w:val="none" w:sz="0" w:space="0" w:color="auto"/>
        <w:right w:val="none" w:sz="0" w:space="0" w:color="auto"/>
      </w:divBdr>
    </w:div>
    <w:div w:id="70856141">
      <w:bodyDiv w:val="1"/>
      <w:marLeft w:val="0"/>
      <w:marRight w:val="0"/>
      <w:marTop w:val="0"/>
      <w:marBottom w:val="0"/>
      <w:divBdr>
        <w:top w:val="none" w:sz="0" w:space="0" w:color="auto"/>
        <w:left w:val="none" w:sz="0" w:space="0" w:color="auto"/>
        <w:bottom w:val="none" w:sz="0" w:space="0" w:color="auto"/>
        <w:right w:val="none" w:sz="0" w:space="0" w:color="auto"/>
      </w:divBdr>
    </w:div>
    <w:div w:id="127674189">
      <w:bodyDiv w:val="1"/>
      <w:marLeft w:val="0"/>
      <w:marRight w:val="0"/>
      <w:marTop w:val="0"/>
      <w:marBottom w:val="0"/>
      <w:divBdr>
        <w:top w:val="none" w:sz="0" w:space="0" w:color="auto"/>
        <w:left w:val="none" w:sz="0" w:space="0" w:color="auto"/>
        <w:bottom w:val="none" w:sz="0" w:space="0" w:color="auto"/>
        <w:right w:val="none" w:sz="0" w:space="0" w:color="auto"/>
      </w:divBdr>
    </w:div>
    <w:div w:id="144712488">
      <w:bodyDiv w:val="1"/>
      <w:marLeft w:val="0"/>
      <w:marRight w:val="0"/>
      <w:marTop w:val="0"/>
      <w:marBottom w:val="0"/>
      <w:divBdr>
        <w:top w:val="none" w:sz="0" w:space="0" w:color="auto"/>
        <w:left w:val="none" w:sz="0" w:space="0" w:color="auto"/>
        <w:bottom w:val="none" w:sz="0" w:space="0" w:color="auto"/>
        <w:right w:val="none" w:sz="0" w:space="0" w:color="auto"/>
      </w:divBdr>
    </w:div>
    <w:div w:id="150608288">
      <w:bodyDiv w:val="1"/>
      <w:marLeft w:val="0"/>
      <w:marRight w:val="0"/>
      <w:marTop w:val="0"/>
      <w:marBottom w:val="0"/>
      <w:divBdr>
        <w:top w:val="none" w:sz="0" w:space="0" w:color="auto"/>
        <w:left w:val="none" w:sz="0" w:space="0" w:color="auto"/>
        <w:bottom w:val="none" w:sz="0" w:space="0" w:color="auto"/>
        <w:right w:val="none" w:sz="0" w:space="0" w:color="auto"/>
      </w:divBdr>
    </w:div>
    <w:div w:id="161748041">
      <w:bodyDiv w:val="1"/>
      <w:marLeft w:val="0"/>
      <w:marRight w:val="0"/>
      <w:marTop w:val="0"/>
      <w:marBottom w:val="0"/>
      <w:divBdr>
        <w:top w:val="none" w:sz="0" w:space="0" w:color="auto"/>
        <w:left w:val="none" w:sz="0" w:space="0" w:color="auto"/>
        <w:bottom w:val="none" w:sz="0" w:space="0" w:color="auto"/>
        <w:right w:val="none" w:sz="0" w:space="0" w:color="auto"/>
      </w:divBdr>
    </w:div>
    <w:div w:id="162162796">
      <w:bodyDiv w:val="1"/>
      <w:marLeft w:val="0"/>
      <w:marRight w:val="0"/>
      <w:marTop w:val="0"/>
      <w:marBottom w:val="0"/>
      <w:divBdr>
        <w:top w:val="none" w:sz="0" w:space="0" w:color="auto"/>
        <w:left w:val="none" w:sz="0" w:space="0" w:color="auto"/>
        <w:bottom w:val="none" w:sz="0" w:space="0" w:color="auto"/>
        <w:right w:val="none" w:sz="0" w:space="0" w:color="auto"/>
      </w:divBdr>
    </w:div>
    <w:div w:id="178393530">
      <w:bodyDiv w:val="1"/>
      <w:marLeft w:val="0"/>
      <w:marRight w:val="0"/>
      <w:marTop w:val="0"/>
      <w:marBottom w:val="0"/>
      <w:divBdr>
        <w:top w:val="none" w:sz="0" w:space="0" w:color="auto"/>
        <w:left w:val="none" w:sz="0" w:space="0" w:color="auto"/>
        <w:bottom w:val="none" w:sz="0" w:space="0" w:color="auto"/>
        <w:right w:val="none" w:sz="0" w:space="0" w:color="auto"/>
      </w:divBdr>
    </w:div>
    <w:div w:id="184364748">
      <w:bodyDiv w:val="1"/>
      <w:marLeft w:val="0"/>
      <w:marRight w:val="0"/>
      <w:marTop w:val="0"/>
      <w:marBottom w:val="0"/>
      <w:divBdr>
        <w:top w:val="none" w:sz="0" w:space="0" w:color="auto"/>
        <w:left w:val="none" w:sz="0" w:space="0" w:color="auto"/>
        <w:bottom w:val="none" w:sz="0" w:space="0" w:color="auto"/>
        <w:right w:val="none" w:sz="0" w:space="0" w:color="auto"/>
      </w:divBdr>
    </w:div>
    <w:div w:id="207882913">
      <w:bodyDiv w:val="1"/>
      <w:marLeft w:val="0"/>
      <w:marRight w:val="0"/>
      <w:marTop w:val="0"/>
      <w:marBottom w:val="0"/>
      <w:divBdr>
        <w:top w:val="none" w:sz="0" w:space="0" w:color="auto"/>
        <w:left w:val="none" w:sz="0" w:space="0" w:color="auto"/>
        <w:bottom w:val="none" w:sz="0" w:space="0" w:color="auto"/>
        <w:right w:val="none" w:sz="0" w:space="0" w:color="auto"/>
      </w:divBdr>
    </w:div>
    <w:div w:id="219176892">
      <w:bodyDiv w:val="1"/>
      <w:marLeft w:val="0"/>
      <w:marRight w:val="0"/>
      <w:marTop w:val="0"/>
      <w:marBottom w:val="0"/>
      <w:divBdr>
        <w:top w:val="none" w:sz="0" w:space="0" w:color="auto"/>
        <w:left w:val="none" w:sz="0" w:space="0" w:color="auto"/>
        <w:bottom w:val="none" w:sz="0" w:space="0" w:color="auto"/>
        <w:right w:val="none" w:sz="0" w:space="0" w:color="auto"/>
      </w:divBdr>
    </w:div>
    <w:div w:id="307757272">
      <w:bodyDiv w:val="1"/>
      <w:marLeft w:val="0"/>
      <w:marRight w:val="0"/>
      <w:marTop w:val="0"/>
      <w:marBottom w:val="0"/>
      <w:divBdr>
        <w:top w:val="none" w:sz="0" w:space="0" w:color="auto"/>
        <w:left w:val="none" w:sz="0" w:space="0" w:color="auto"/>
        <w:bottom w:val="none" w:sz="0" w:space="0" w:color="auto"/>
        <w:right w:val="none" w:sz="0" w:space="0" w:color="auto"/>
      </w:divBdr>
    </w:div>
    <w:div w:id="342438255">
      <w:bodyDiv w:val="1"/>
      <w:marLeft w:val="0"/>
      <w:marRight w:val="0"/>
      <w:marTop w:val="0"/>
      <w:marBottom w:val="0"/>
      <w:divBdr>
        <w:top w:val="none" w:sz="0" w:space="0" w:color="auto"/>
        <w:left w:val="none" w:sz="0" w:space="0" w:color="auto"/>
        <w:bottom w:val="none" w:sz="0" w:space="0" w:color="auto"/>
        <w:right w:val="none" w:sz="0" w:space="0" w:color="auto"/>
      </w:divBdr>
    </w:div>
    <w:div w:id="360520502">
      <w:bodyDiv w:val="1"/>
      <w:marLeft w:val="0"/>
      <w:marRight w:val="0"/>
      <w:marTop w:val="0"/>
      <w:marBottom w:val="0"/>
      <w:divBdr>
        <w:top w:val="none" w:sz="0" w:space="0" w:color="auto"/>
        <w:left w:val="none" w:sz="0" w:space="0" w:color="auto"/>
        <w:bottom w:val="none" w:sz="0" w:space="0" w:color="auto"/>
        <w:right w:val="none" w:sz="0" w:space="0" w:color="auto"/>
      </w:divBdr>
    </w:div>
    <w:div w:id="416630859">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49862338">
      <w:bodyDiv w:val="1"/>
      <w:marLeft w:val="0"/>
      <w:marRight w:val="0"/>
      <w:marTop w:val="0"/>
      <w:marBottom w:val="0"/>
      <w:divBdr>
        <w:top w:val="none" w:sz="0" w:space="0" w:color="auto"/>
        <w:left w:val="none" w:sz="0" w:space="0" w:color="auto"/>
        <w:bottom w:val="none" w:sz="0" w:space="0" w:color="auto"/>
        <w:right w:val="none" w:sz="0" w:space="0" w:color="auto"/>
      </w:divBdr>
    </w:div>
    <w:div w:id="484010838">
      <w:bodyDiv w:val="1"/>
      <w:marLeft w:val="0"/>
      <w:marRight w:val="0"/>
      <w:marTop w:val="0"/>
      <w:marBottom w:val="0"/>
      <w:divBdr>
        <w:top w:val="none" w:sz="0" w:space="0" w:color="auto"/>
        <w:left w:val="none" w:sz="0" w:space="0" w:color="auto"/>
        <w:bottom w:val="none" w:sz="0" w:space="0" w:color="auto"/>
        <w:right w:val="none" w:sz="0" w:space="0" w:color="auto"/>
      </w:divBdr>
      <w:divsChild>
        <w:div w:id="46536303">
          <w:marLeft w:val="0"/>
          <w:marRight w:val="0"/>
          <w:marTop w:val="0"/>
          <w:marBottom w:val="0"/>
          <w:divBdr>
            <w:top w:val="none" w:sz="0" w:space="0" w:color="auto"/>
            <w:left w:val="none" w:sz="0" w:space="0" w:color="auto"/>
            <w:bottom w:val="none" w:sz="0" w:space="0" w:color="auto"/>
            <w:right w:val="none" w:sz="0" w:space="0" w:color="auto"/>
          </w:divBdr>
        </w:div>
      </w:divsChild>
    </w:div>
    <w:div w:id="529756189">
      <w:bodyDiv w:val="1"/>
      <w:marLeft w:val="0"/>
      <w:marRight w:val="0"/>
      <w:marTop w:val="0"/>
      <w:marBottom w:val="0"/>
      <w:divBdr>
        <w:top w:val="none" w:sz="0" w:space="0" w:color="auto"/>
        <w:left w:val="none" w:sz="0" w:space="0" w:color="auto"/>
        <w:bottom w:val="none" w:sz="0" w:space="0" w:color="auto"/>
        <w:right w:val="none" w:sz="0" w:space="0" w:color="auto"/>
      </w:divBdr>
    </w:div>
    <w:div w:id="570428687">
      <w:bodyDiv w:val="1"/>
      <w:marLeft w:val="0"/>
      <w:marRight w:val="0"/>
      <w:marTop w:val="0"/>
      <w:marBottom w:val="0"/>
      <w:divBdr>
        <w:top w:val="none" w:sz="0" w:space="0" w:color="auto"/>
        <w:left w:val="none" w:sz="0" w:space="0" w:color="auto"/>
        <w:bottom w:val="none" w:sz="0" w:space="0" w:color="auto"/>
        <w:right w:val="none" w:sz="0" w:space="0" w:color="auto"/>
      </w:divBdr>
    </w:div>
    <w:div w:id="585723736">
      <w:bodyDiv w:val="1"/>
      <w:marLeft w:val="0"/>
      <w:marRight w:val="0"/>
      <w:marTop w:val="0"/>
      <w:marBottom w:val="0"/>
      <w:divBdr>
        <w:top w:val="none" w:sz="0" w:space="0" w:color="auto"/>
        <w:left w:val="none" w:sz="0" w:space="0" w:color="auto"/>
        <w:bottom w:val="none" w:sz="0" w:space="0" w:color="auto"/>
        <w:right w:val="none" w:sz="0" w:space="0" w:color="auto"/>
      </w:divBdr>
    </w:div>
    <w:div w:id="587469999">
      <w:bodyDiv w:val="1"/>
      <w:marLeft w:val="0"/>
      <w:marRight w:val="0"/>
      <w:marTop w:val="0"/>
      <w:marBottom w:val="0"/>
      <w:divBdr>
        <w:top w:val="none" w:sz="0" w:space="0" w:color="auto"/>
        <w:left w:val="none" w:sz="0" w:space="0" w:color="auto"/>
        <w:bottom w:val="none" w:sz="0" w:space="0" w:color="auto"/>
        <w:right w:val="none" w:sz="0" w:space="0" w:color="auto"/>
      </w:divBdr>
    </w:div>
    <w:div w:id="592516084">
      <w:bodyDiv w:val="1"/>
      <w:marLeft w:val="0"/>
      <w:marRight w:val="0"/>
      <w:marTop w:val="0"/>
      <w:marBottom w:val="0"/>
      <w:divBdr>
        <w:top w:val="none" w:sz="0" w:space="0" w:color="auto"/>
        <w:left w:val="none" w:sz="0" w:space="0" w:color="auto"/>
        <w:bottom w:val="none" w:sz="0" w:space="0" w:color="auto"/>
        <w:right w:val="none" w:sz="0" w:space="0" w:color="auto"/>
      </w:divBdr>
    </w:div>
    <w:div w:id="621036747">
      <w:bodyDiv w:val="1"/>
      <w:marLeft w:val="0"/>
      <w:marRight w:val="0"/>
      <w:marTop w:val="0"/>
      <w:marBottom w:val="0"/>
      <w:divBdr>
        <w:top w:val="none" w:sz="0" w:space="0" w:color="auto"/>
        <w:left w:val="none" w:sz="0" w:space="0" w:color="auto"/>
        <w:bottom w:val="none" w:sz="0" w:space="0" w:color="auto"/>
        <w:right w:val="none" w:sz="0" w:space="0" w:color="auto"/>
      </w:divBdr>
    </w:div>
    <w:div w:id="631785558">
      <w:bodyDiv w:val="1"/>
      <w:marLeft w:val="0"/>
      <w:marRight w:val="0"/>
      <w:marTop w:val="0"/>
      <w:marBottom w:val="0"/>
      <w:divBdr>
        <w:top w:val="none" w:sz="0" w:space="0" w:color="auto"/>
        <w:left w:val="none" w:sz="0" w:space="0" w:color="auto"/>
        <w:bottom w:val="none" w:sz="0" w:space="0" w:color="auto"/>
        <w:right w:val="none" w:sz="0" w:space="0" w:color="auto"/>
      </w:divBdr>
    </w:div>
    <w:div w:id="639304485">
      <w:bodyDiv w:val="1"/>
      <w:marLeft w:val="0"/>
      <w:marRight w:val="0"/>
      <w:marTop w:val="0"/>
      <w:marBottom w:val="0"/>
      <w:divBdr>
        <w:top w:val="none" w:sz="0" w:space="0" w:color="auto"/>
        <w:left w:val="none" w:sz="0" w:space="0" w:color="auto"/>
        <w:bottom w:val="none" w:sz="0" w:space="0" w:color="auto"/>
        <w:right w:val="none" w:sz="0" w:space="0" w:color="auto"/>
      </w:divBdr>
    </w:div>
    <w:div w:id="646667782">
      <w:bodyDiv w:val="1"/>
      <w:marLeft w:val="0"/>
      <w:marRight w:val="0"/>
      <w:marTop w:val="0"/>
      <w:marBottom w:val="0"/>
      <w:divBdr>
        <w:top w:val="none" w:sz="0" w:space="0" w:color="auto"/>
        <w:left w:val="none" w:sz="0" w:space="0" w:color="auto"/>
        <w:bottom w:val="none" w:sz="0" w:space="0" w:color="auto"/>
        <w:right w:val="none" w:sz="0" w:space="0" w:color="auto"/>
      </w:divBdr>
    </w:div>
    <w:div w:id="647704597">
      <w:bodyDiv w:val="1"/>
      <w:marLeft w:val="0"/>
      <w:marRight w:val="0"/>
      <w:marTop w:val="0"/>
      <w:marBottom w:val="0"/>
      <w:divBdr>
        <w:top w:val="none" w:sz="0" w:space="0" w:color="auto"/>
        <w:left w:val="none" w:sz="0" w:space="0" w:color="auto"/>
        <w:bottom w:val="none" w:sz="0" w:space="0" w:color="auto"/>
        <w:right w:val="none" w:sz="0" w:space="0" w:color="auto"/>
      </w:divBdr>
    </w:div>
    <w:div w:id="662511784">
      <w:bodyDiv w:val="1"/>
      <w:marLeft w:val="0"/>
      <w:marRight w:val="0"/>
      <w:marTop w:val="0"/>
      <w:marBottom w:val="0"/>
      <w:divBdr>
        <w:top w:val="none" w:sz="0" w:space="0" w:color="auto"/>
        <w:left w:val="none" w:sz="0" w:space="0" w:color="auto"/>
        <w:bottom w:val="none" w:sz="0" w:space="0" w:color="auto"/>
        <w:right w:val="none" w:sz="0" w:space="0" w:color="auto"/>
      </w:divBdr>
    </w:div>
    <w:div w:id="749666911">
      <w:bodyDiv w:val="1"/>
      <w:marLeft w:val="0"/>
      <w:marRight w:val="0"/>
      <w:marTop w:val="0"/>
      <w:marBottom w:val="0"/>
      <w:divBdr>
        <w:top w:val="none" w:sz="0" w:space="0" w:color="auto"/>
        <w:left w:val="none" w:sz="0" w:space="0" w:color="auto"/>
        <w:bottom w:val="none" w:sz="0" w:space="0" w:color="auto"/>
        <w:right w:val="none" w:sz="0" w:space="0" w:color="auto"/>
      </w:divBdr>
    </w:div>
    <w:div w:id="779688420">
      <w:bodyDiv w:val="1"/>
      <w:marLeft w:val="0"/>
      <w:marRight w:val="0"/>
      <w:marTop w:val="0"/>
      <w:marBottom w:val="0"/>
      <w:divBdr>
        <w:top w:val="none" w:sz="0" w:space="0" w:color="auto"/>
        <w:left w:val="none" w:sz="0" w:space="0" w:color="auto"/>
        <w:bottom w:val="none" w:sz="0" w:space="0" w:color="auto"/>
        <w:right w:val="none" w:sz="0" w:space="0" w:color="auto"/>
      </w:divBdr>
    </w:div>
    <w:div w:id="806631964">
      <w:bodyDiv w:val="1"/>
      <w:marLeft w:val="0"/>
      <w:marRight w:val="0"/>
      <w:marTop w:val="0"/>
      <w:marBottom w:val="0"/>
      <w:divBdr>
        <w:top w:val="none" w:sz="0" w:space="0" w:color="auto"/>
        <w:left w:val="none" w:sz="0" w:space="0" w:color="auto"/>
        <w:bottom w:val="none" w:sz="0" w:space="0" w:color="auto"/>
        <w:right w:val="none" w:sz="0" w:space="0" w:color="auto"/>
      </w:divBdr>
    </w:div>
    <w:div w:id="815604486">
      <w:bodyDiv w:val="1"/>
      <w:marLeft w:val="0"/>
      <w:marRight w:val="0"/>
      <w:marTop w:val="0"/>
      <w:marBottom w:val="0"/>
      <w:divBdr>
        <w:top w:val="none" w:sz="0" w:space="0" w:color="auto"/>
        <w:left w:val="none" w:sz="0" w:space="0" w:color="auto"/>
        <w:bottom w:val="none" w:sz="0" w:space="0" w:color="auto"/>
        <w:right w:val="none" w:sz="0" w:space="0" w:color="auto"/>
      </w:divBdr>
    </w:div>
    <w:div w:id="820778583">
      <w:bodyDiv w:val="1"/>
      <w:marLeft w:val="0"/>
      <w:marRight w:val="0"/>
      <w:marTop w:val="0"/>
      <w:marBottom w:val="0"/>
      <w:divBdr>
        <w:top w:val="none" w:sz="0" w:space="0" w:color="auto"/>
        <w:left w:val="none" w:sz="0" w:space="0" w:color="auto"/>
        <w:bottom w:val="none" w:sz="0" w:space="0" w:color="auto"/>
        <w:right w:val="none" w:sz="0" w:space="0" w:color="auto"/>
      </w:divBdr>
    </w:div>
    <w:div w:id="861633181">
      <w:bodyDiv w:val="1"/>
      <w:marLeft w:val="0"/>
      <w:marRight w:val="0"/>
      <w:marTop w:val="0"/>
      <w:marBottom w:val="0"/>
      <w:divBdr>
        <w:top w:val="none" w:sz="0" w:space="0" w:color="auto"/>
        <w:left w:val="none" w:sz="0" w:space="0" w:color="auto"/>
        <w:bottom w:val="none" w:sz="0" w:space="0" w:color="auto"/>
        <w:right w:val="none" w:sz="0" w:space="0" w:color="auto"/>
      </w:divBdr>
    </w:div>
    <w:div w:id="946812744">
      <w:bodyDiv w:val="1"/>
      <w:marLeft w:val="0"/>
      <w:marRight w:val="0"/>
      <w:marTop w:val="0"/>
      <w:marBottom w:val="0"/>
      <w:divBdr>
        <w:top w:val="none" w:sz="0" w:space="0" w:color="auto"/>
        <w:left w:val="none" w:sz="0" w:space="0" w:color="auto"/>
        <w:bottom w:val="none" w:sz="0" w:space="0" w:color="auto"/>
        <w:right w:val="none" w:sz="0" w:space="0" w:color="auto"/>
      </w:divBdr>
    </w:div>
    <w:div w:id="955213800">
      <w:bodyDiv w:val="1"/>
      <w:marLeft w:val="0"/>
      <w:marRight w:val="0"/>
      <w:marTop w:val="0"/>
      <w:marBottom w:val="0"/>
      <w:divBdr>
        <w:top w:val="none" w:sz="0" w:space="0" w:color="auto"/>
        <w:left w:val="none" w:sz="0" w:space="0" w:color="auto"/>
        <w:bottom w:val="none" w:sz="0" w:space="0" w:color="auto"/>
        <w:right w:val="none" w:sz="0" w:space="0" w:color="auto"/>
      </w:divBdr>
    </w:div>
    <w:div w:id="1053772440">
      <w:bodyDiv w:val="1"/>
      <w:marLeft w:val="0"/>
      <w:marRight w:val="0"/>
      <w:marTop w:val="0"/>
      <w:marBottom w:val="0"/>
      <w:divBdr>
        <w:top w:val="none" w:sz="0" w:space="0" w:color="auto"/>
        <w:left w:val="none" w:sz="0" w:space="0" w:color="auto"/>
        <w:bottom w:val="none" w:sz="0" w:space="0" w:color="auto"/>
        <w:right w:val="none" w:sz="0" w:space="0" w:color="auto"/>
      </w:divBdr>
    </w:div>
    <w:div w:id="1081100385">
      <w:bodyDiv w:val="1"/>
      <w:marLeft w:val="0"/>
      <w:marRight w:val="0"/>
      <w:marTop w:val="0"/>
      <w:marBottom w:val="0"/>
      <w:divBdr>
        <w:top w:val="none" w:sz="0" w:space="0" w:color="auto"/>
        <w:left w:val="none" w:sz="0" w:space="0" w:color="auto"/>
        <w:bottom w:val="none" w:sz="0" w:space="0" w:color="auto"/>
        <w:right w:val="none" w:sz="0" w:space="0" w:color="auto"/>
      </w:divBdr>
    </w:div>
    <w:div w:id="1093941327">
      <w:bodyDiv w:val="1"/>
      <w:marLeft w:val="0"/>
      <w:marRight w:val="0"/>
      <w:marTop w:val="0"/>
      <w:marBottom w:val="0"/>
      <w:divBdr>
        <w:top w:val="none" w:sz="0" w:space="0" w:color="auto"/>
        <w:left w:val="none" w:sz="0" w:space="0" w:color="auto"/>
        <w:bottom w:val="none" w:sz="0" w:space="0" w:color="auto"/>
        <w:right w:val="none" w:sz="0" w:space="0" w:color="auto"/>
      </w:divBdr>
    </w:div>
    <w:div w:id="1112672717">
      <w:bodyDiv w:val="1"/>
      <w:marLeft w:val="0"/>
      <w:marRight w:val="0"/>
      <w:marTop w:val="0"/>
      <w:marBottom w:val="0"/>
      <w:divBdr>
        <w:top w:val="none" w:sz="0" w:space="0" w:color="auto"/>
        <w:left w:val="none" w:sz="0" w:space="0" w:color="auto"/>
        <w:bottom w:val="none" w:sz="0" w:space="0" w:color="auto"/>
        <w:right w:val="none" w:sz="0" w:space="0" w:color="auto"/>
      </w:divBdr>
    </w:div>
    <w:div w:id="1162702056">
      <w:bodyDiv w:val="1"/>
      <w:marLeft w:val="0"/>
      <w:marRight w:val="0"/>
      <w:marTop w:val="0"/>
      <w:marBottom w:val="0"/>
      <w:divBdr>
        <w:top w:val="none" w:sz="0" w:space="0" w:color="auto"/>
        <w:left w:val="none" w:sz="0" w:space="0" w:color="auto"/>
        <w:bottom w:val="none" w:sz="0" w:space="0" w:color="auto"/>
        <w:right w:val="none" w:sz="0" w:space="0" w:color="auto"/>
      </w:divBdr>
    </w:div>
    <w:div w:id="1175147580">
      <w:bodyDiv w:val="1"/>
      <w:marLeft w:val="0"/>
      <w:marRight w:val="0"/>
      <w:marTop w:val="0"/>
      <w:marBottom w:val="0"/>
      <w:divBdr>
        <w:top w:val="none" w:sz="0" w:space="0" w:color="auto"/>
        <w:left w:val="none" w:sz="0" w:space="0" w:color="auto"/>
        <w:bottom w:val="none" w:sz="0" w:space="0" w:color="auto"/>
        <w:right w:val="none" w:sz="0" w:space="0" w:color="auto"/>
      </w:divBdr>
    </w:div>
    <w:div w:id="1184251358">
      <w:bodyDiv w:val="1"/>
      <w:marLeft w:val="0"/>
      <w:marRight w:val="0"/>
      <w:marTop w:val="0"/>
      <w:marBottom w:val="0"/>
      <w:divBdr>
        <w:top w:val="none" w:sz="0" w:space="0" w:color="auto"/>
        <w:left w:val="none" w:sz="0" w:space="0" w:color="auto"/>
        <w:bottom w:val="none" w:sz="0" w:space="0" w:color="auto"/>
        <w:right w:val="none" w:sz="0" w:space="0" w:color="auto"/>
      </w:divBdr>
    </w:div>
    <w:div w:id="1233153538">
      <w:bodyDiv w:val="1"/>
      <w:marLeft w:val="0"/>
      <w:marRight w:val="0"/>
      <w:marTop w:val="0"/>
      <w:marBottom w:val="0"/>
      <w:divBdr>
        <w:top w:val="none" w:sz="0" w:space="0" w:color="auto"/>
        <w:left w:val="none" w:sz="0" w:space="0" w:color="auto"/>
        <w:bottom w:val="none" w:sz="0" w:space="0" w:color="auto"/>
        <w:right w:val="none" w:sz="0" w:space="0" w:color="auto"/>
      </w:divBdr>
    </w:div>
    <w:div w:id="1254121365">
      <w:bodyDiv w:val="1"/>
      <w:marLeft w:val="0"/>
      <w:marRight w:val="0"/>
      <w:marTop w:val="0"/>
      <w:marBottom w:val="0"/>
      <w:divBdr>
        <w:top w:val="none" w:sz="0" w:space="0" w:color="auto"/>
        <w:left w:val="none" w:sz="0" w:space="0" w:color="auto"/>
        <w:bottom w:val="none" w:sz="0" w:space="0" w:color="auto"/>
        <w:right w:val="none" w:sz="0" w:space="0" w:color="auto"/>
      </w:divBdr>
    </w:div>
    <w:div w:id="1260915746">
      <w:bodyDiv w:val="1"/>
      <w:marLeft w:val="0"/>
      <w:marRight w:val="0"/>
      <w:marTop w:val="0"/>
      <w:marBottom w:val="0"/>
      <w:divBdr>
        <w:top w:val="none" w:sz="0" w:space="0" w:color="auto"/>
        <w:left w:val="none" w:sz="0" w:space="0" w:color="auto"/>
        <w:bottom w:val="none" w:sz="0" w:space="0" w:color="auto"/>
        <w:right w:val="none" w:sz="0" w:space="0" w:color="auto"/>
      </w:divBdr>
    </w:div>
    <w:div w:id="1262909969">
      <w:bodyDiv w:val="1"/>
      <w:marLeft w:val="0"/>
      <w:marRight w:val="0"/>
      <w:marTop w:val="0"/>
      <w:marBottom w:val="0"/>
      <w:divBdr>
        <w:top w:val="none" w:sz="0" w:space="0" w:color="auto"/>
        <w:left w:val="none" w:sz="0" w:space="0" w:color="auto"/>
        <w:bottom w:val="none" w:sz="0" w:space="0" w:color="auto"/>
        <w:right w:val="none" w:sz="0" w:space="0" w:color="auto"/>
      </w:divBdr>
    </w:div>
    <w:div w:id="1283683272">
      <w:bodyDiv w:val="1"/>
      <w:marLeft w:val="0"/>
      <w:marRight w:val="0"/>
      <w:marTop w:val="0"/>
      <w:marBottom w:val="0"/>
      <w:divBdr>
        <w:top w:val="none" w:sz="0" w:space="0" w:color="auto"/>
        <w:left w:val="none" w:sz="0" w:space="0" w:color="auto"/>
        <w:bottom w:val="none" w:sz="0" w:space="0" w:color="auto"/>
        <w:right w:val="none" w:sz="0" w:space="0" w:color="auto"/>
      </w:divBdr>
    </w:div>
    <w:div w:id="1289773702">
      <w:bodyDiv w:val="1"/>
      <w:marLeft w:val="0"/>
      <w:marRight w:val="0"/>
      <w:marTop w:val="0"/>
      <w:marBottom w:val="0"/>
      <w:divBdr>
        <w:top w:val="none" w:sz="0" w:space="0" w:color="auto"/>
        <w:left w:val="none" w:sz="0" w:space="0" w:color="auto"/>
        <w:bottom w:val="none" w:sz="0" w:space="0" w:color="auto"/>
        <w:right w:val="none" w:sz="0" w:space="0" w:color="auto"/>
      </w:divBdr>
    </w:div>
    <w:div w:id="1289899046">
      <w:bodyDiv w:val="1"/>
      <w:marLeft w:val="0"/>
      <w:marRight w:val="0"/>
      <w:marTop w:val="0"/>
      <w:marBottom w:val="0"/>
      <w:divBdr>
        <w:top w:val="none" w:sz="0" w:space="0" w:color="auto"/>
        <w:left w:val="none" w:sz="0" w:space="0" w:color="auto"/>
        <w:bottom w:val="none" w:sz="0" w:space="0" w:color="auto"/>
        <w:right w:val="none" w:sz="0" w:space="0" w:color="auto"/>
      </w:divBdr>
    </w:div>
    <w:div w:id="1305892782">
      <w:bodyDiv w:val="1"/>
      <w:marLeft w:val="0"/>
      <w:marRight w:val="0"/>
      <w:marTop w:val="0"/>
      <w:marBottom w:val="0"/>
      <w:divBdr>
        <w:top w:val="none" w:sz="0" w:space="0" w:color="auto"/>
        <w:left w:val="none" w:sz="0" w:space="0" w:color="auto"/>
        <w:bottom w:val="none" w:sz="0" w:space="0" w:color="auto"/>
        <w:right w:val="none" w:sz="0" w:space="0" w:color="auto"/>
      </w:divBdr>
    </w:div>
    <w:div w:id="1332415317">
      <w:bodyDiv w:val="1"/>
      <w:marLeft w:val="0"/>
      <w:marRight w:val="0"/>
      <w:marTop w:val="0"/>
      <w:marBottom w:val="0"/>
      <w:divBdr>
        <w:top w:val="none" w:sz="0" w:space="0" w:color="auto"/>
        <w:left w:val="none" w:sz="0" w:space="0" w:color="auto"/>
        <w:bottom w:val="none" w:sz="0" w:space="0" w:color="auto"/>
        <w:right w:val="none" w:sz="0" w:space="0" w:color="auto"/>
      </w:divBdr>
    </w:div>
    <w:div w:id="1365442668">
      <w:bodyDiv w:val="1"/>
      <w:marLeft w:val="0"/>
      <w:marRight w:val="0"/>
      <w:marTop w:val="0"/>
      <w:marBottom w:val="0"/>
      <w:divBdr>
        <w:top w:val="none" w:sz="0" w:space="0" w:color="auto"/>
        <w:left w:val="none" w:sz="0" w:space="0" w:color="auto"/>
        <w:bottom w:val="none" w:sz="0" w:space="0" w:color="auto"/>
        <w:right w:val="none" w:sz="0" w:space="0" w:color="auto"/>
      </w:divBdr>
    </w:div>
    <w:div w:id="1373648118">
      <w:bodyDiv w:val="1"/>
      <w:marLeft w:val="0"/>
      <w:marRight w:val="0"/>
      <w:marTop w:val="0"/>
      <w:marBottom w:val="0"/>
      <w:divBdr>
        <w:top w:val="none" w:sz="0" w:space="0" w:color="auto"/>
        <w:left w:val="none" w:sz="0" w:space="0" w:color="auto"/>
        <w:bottom w:val="none" w:sz="0" w:space="0" w:color="auto"/>
        <w:right w:val="none" w:sz="0" w:space="0" w:color="auto"/>
      </w:divBdr>
    </w:div>
    <w:div w:id="1391346085">
      <w:bodyDiv w:val="1"/>
      <w:marLeft w:val="0"/>
      <w:marRight w:val="0"/>
      <w:marTop w:val="0"/>
      <w:marBottom w:val="0"/>
      <w:divBdr>
        <w:top w:val="none" w:sz="0" w:space="0" w:color="auto"/>
        <w:left w:val="none" w:sz="0" w:space="0" w:color="auto"/>
        <w:bottom w:val="none" w:sz="0" w:space="0" w:color="auto"/>
        <w:right w:val="none" w:sz="0" w:space="0" w:color="auto"/>
      </w:divBdr>
    </w:div>
    <w:div w:id="1405835491">
      <w:bodyDiv w:val="1"/>
      <w:marLeft w:val="0"/>
      <w:marRight w:val="0"/>
      <w:marTop w:val="0"/>
      <w:marBottom w:val="0"/>
      <w:divBdr>
        <w:top w:val="none" w:sz="0" w:space="0" w:color="auto"/>
        <w:left w:val="none" w:sz="0" w:space="0" w:color="auto"/>
        <w:bottom w:val="none" w:sz="0" w:space="0" w:color="auto"/>
        <w:right w:val="none" w:sz="0" w:space="0" w:color="auto"/>
      </w:divBdr>
    </w:div>
    <w:div w:id="1423145141">
      <w:bodyDiv w:val="1"/>
      <w:marLeft w:val="0"/>
      <w:marRight w:val="0"/>
      <w:marTop w:val="0"/>
      <w:marBottom w:val="0"/>
      <w:divBdr>
        <w:top w:val="none" w:sz="0" w:space="0" w:color="auto"/>
        <w:left w:val="none" w:sz="0" w:space="0" w:color="auto"/>
        <w:bottom w:val="none" w:sz="0" w:space="0" w:color="auto"/>
        <w:right w:val="none" w:sz="0" w:space="0" w:color="auto"/>
      </w:divBdr>
      <w:divsChild>
        <w:div w:id="1695573645">
          <w:marLeft w:val="0"/>
          <w:marRight w:val="0"/>
          <w:marTop w:val="0"/>
          <w:marBottom w:val="0"/>
          <w:divBdr>
            <w:top w:val="none" w:sz="0" w:space="0" w:color="auto"/>
            <w:left w:val="none" w:sz="0" w:space="0" w:color="auto"/>
            <w:bottom w:val="none" w:sz="0" w:space="0" w:color="auto"/>
            <w:right w:val="none" w:sz="0" w:space="0" w:color="auto"/>
          </w:divBdr>
        </w:div>
      </w:divsChild>
    </w:div>
    <w:div w:id="1428964429">
      <w:bodyDiv w:val="1"/>
      <w:marLeft w:val="0"/>
      <w:marRight w:val="0"/>
      <w:marTop w:val="0"/>
      <w:marBottom w:val="0"/>
      <w:divBdr>
        <w:top w:val="none" w:sz="0" w:space="0" w:color="auto"/>
        <w:left w:val="none" w:sz="0" w:space="0" w:color="auto"/>
        <w:bottom w:val="none" w:sz="0" w:space="0" w:color="auto"/>
        <w:right w:val="none" w:sz="0" w:space="0" w:color="auto"/>
      </w:divBdr>
    </w:div>
    <w:div w:id="1441610442">
      <w:bodyDiv w:val="1"/>
      <w:marLeft w:val="0"/>
      <w:marRight w:val="0"/>
      <w:marTop w:val="0"/>
      <w:marBottom w:val="0"/>
      <w:divBdr>
        <w:top w:val="none" w:sz="0" w:space="0" w:color="auto"/>
        <w:left w:val="none" w:sz="0" w:space="0" w:color="auto"/>
        <w:bottom w:val="none" w:sz="0" w:space="0" w:color="auto"/>
        <w:right w:val="none" w:sz="0" w:space="0" w:color="auto"/>
      </w:divBdr>
    </w:div>
    <w:div w:id="1481001622">
      <w:bodyDiv w:val="1"/>
      <w:marLeft w:val="0"/>
      <w:marRight w:val="0"/>
      <w:marTop w:val="0"/>
      <w:marBottom w:val="0"/>
      <w:divBdr>
        <w:top w:val="none" w:sz="0" w:space="0" w:color="auto"/>
        <w:left w:val="none" w:sz="0" w:space="0" w:color="auto"/>
        <w:bottom w:val="none" w:sz="0" w:space="0" w:color="auto"/>
        <w:right w:val="none" w:sz="0" w:space="0" w:color="auto"/>
      </w:divBdr>
    </w:div>
    <w:div w:id="1483498465">
      <w:bodyDiv w:val="1"/>
      <w:marLeft w:val="0"/>
      <w:marRight w:val="0"/>
      <w:marTop w:val="0"/>
      <w:marBottom w:val="0"/>
      <w:divBdr>
        <w:top w:val="none" w:sz="0" w:space="0" w:color="auto"/>
        <w:left w:val="none" w:sz="0" w:space="0" w:color="auto"/>
        <w:bottom w:val="none" w:sz="0" w:space="0" w:color="auto"/>
        <w:right w:val="none" w:sz="0" w:space="0" w:color="auto"/>
      </w:divBdr>
    </w:div>
    <w:div w:id="1483621736">
      <w:bodyDiv w:val="1"/>
      <w:marLeft w:val="0"/>
      <w:marRight w:val="0"/>
      <w:marTop w:val="0"/>
      <w:marBottom w:val="0"/>
      <w:divBdr>
        <w:top w:val="none" w:sz="0" w:space="0" w:color="auto"/>
        <w:left w:val="none" w:sz="0" w:space="0" w:color="auto"/>
        <w:bottom w:val="none" w:sz="0" w:space="0" w:color="auto"/>
        <w:right w:val="none" w:sz="0" w:space="0" w:color="auto"/>
      </w:divBdr>
    </w:div>
    <w:div w:id="1585215694">
      <w:bodyDiv w:val="1"/>
      <w:marLeft w:val="0"/>
      <w:marRight w:val="0"/>
      <w:marTop w:val="0"/>
      <w:marBottom w:val="0"/>
      <w:divBdr>
        <w:top w:val="none" w:sz="0" w:space="0" w:color="auto"/>
        <w:left w:val="none" w:sz="0" w:space="0" w:color="auto"/>
        <w:bottom w:val="none" w:sz="0" w:space="0" w:color="auto"/>
        <w:right w:val="none" w:sz="0" w:space="0" w:color="auto"/>
      </w:divBdr>
    </w:div>
    <w:div w:id="1605377063">
      <w:bodyDiv w:val="1"/>
      <w:marLeft w:val="0"/>
      <w:marRight w:val="0"/>
      <w:marTop w:val="0"/>
      <w:marBottom w:val="0"/>
      <w:divBdr>
        <w:top w:val="none" w:sz="0" w:space="0" w:color="auto"/>
        <w:left w:val="none" w:sz="0" w:space="0" w:color="auto"/>
        <w:bottom w:val="none" w:sz="0" w:space="0" w:color="auto"/>
        <w:right w:val="none" w:sz="0" w:space="0" w:color="auto"/>
      </w:divBdr>
      <w:divsChild>
        <w:div w:id="1682315338">
          <w:marLeft w:val="0"/>
          <w:marRight w:val="0"/>
          <w:marTop w:val="0"/>
          <w:marBottom w:val="0"/>
          <w:divBdr>
            <w:top w:val="none" w:sz="0" w:space="0" w:color="auto"/>
            <w:left w:val="none" w:sz="0" w:space="0" w:color="auto"/>
            <w:bottom w:val="none" w:sz="0" w:space="0" w:color="auto"/>
            <w:right w:val="none" w:sz="0" w:space="0" w:color="auto"/>
          </w:divBdr>
        </w:div>
      </w:divsChild>
    </w:div>
    <w:div w:id="1652827346">
      <w:bodyDiv w:val="1"/>
      <w:marLeft w:val="0"/>
      <w:marRight w:val="0"/>
      <w:marTop w:val="0"/>
      <w:marBottom w:val="0"/>
      <w:divBdr>
        <w:top w:val="none" w:sz="0" w:space="0" w:color="auto"/>
        <w:left w:val="none" w:sz="0" w:space="0" w:color="auto"/>
        <w:bottom w:val="none" w:sz="0" w:space="0" w:color="auto"/>
        <w:right w:val="none" w:sz="0" w:space="0" w:color="auto"/>
      </w:divBdr>
    </w:div>
    <w:div w:id="1662198208">
      <w:bodyDiv w:val="1"/>
      <w:marLeft w:val="0"/>
      <w:marRight w:val="0"/>
      <w:marTop w:val="0"/>
      <w:marBottom w:val="0"/>
      <w:divBdr>
        <w:top w:val="none" w:sz="0" w:space="0" w:color="auto"/>
        <w:left w:val="none" w:sz="0" w:space="0" w:color="auto"/>
        <w:bottom w:val="none" w:sz="0" w:space="0" w:color="auto"/>
        <w:right w:val="none" w:sz="0" w:space="0" w:color="auto"/>
      </w:divBdr>
      <w:divsChild>
        <w:div w:id="413669167">
          <w:marLeft w:val="0"/>
          <w:marRight w:val="0"/>
          <w:marTop w:val="0"/>
          <w:marBottom w:val="0"/>
          <w:divBdr>
            <w:top w:val="none" w:sz="0" w:space="0" w:color="auto"/>
            <w:left w:val="none" w:sz="0" w:space="0" w:color="auto"/>
            <w:bottom w:val="none" w:sz="0" w:space="0" w:color="auto"/>
            <w:right w:val="none" w:sz="0" w:space="0" w:color="auto"/>
          </w:divBdr>
        </w:div>
      </w:divsChild>
    </w:div>
    <w:div w:id="1690569461">
      <w:bodyDiv w:val="1"/>
      <w:marLeft w:val="0"/>
      <w:marRight w:val="0"/>
      <w:marTop w:val="0"/>
      <w:marBottom w:val="0"/>
      <w:divBdr>
        <w:top w:val="none" w:sz="0" w:space="0" w:color="auto"/>
        <w:left w:val="none" w:sz="0" w:space="0" w:color="auto"/>
        <w:bottom w:val="none" w:sz="0" w:space="0" w:color="auto"/>
        <w:right w:val="none" w:sz="0" w:space="0" w:color="auto"/>
      </w:divBdr>
    </w:div>
    <w:div w:id="1725173436">
      <w:bodyDiv w:val="1"/>
      <w:marLeft w:val="0"/>
      <w:marRight w:val="0"/>
      <w:marTop w:val="0"/>
      <w:marBottom w:val="0"/>
      <w:divBdr>
        <w:top w:val="none" w:sz="0" w:space="0" w:color="auto"/>
        <w:left w:val="none" w:sz="0" w:space="0" w:color="auto"/>
        <w:bottom w:val="none" w:sz="0" w:space="0" w:color="auto"/>
        <w:right w:val="none" w:sz="0" w:space="0" w:color="auto"/>
      </w:divBdr>
    </w:div>
    <w:div w:id="1734083170">
      <w:bodyDiv w:val="1"/>
      <w:marLeft w:val="0"/>
      <w:marRight w:val="0"/>
      <w:marTop w:val="0"/>
      <w:marBottom w:val="0"/>
      <w:divBdr>
        <w:top w:val="none" w:sz="0" w:space="0" w:color="auto"/>
        <w:left w:val="none" w:sz="0" w:space="0" w:color="auto"/>
        <w:bottom w:val="none" w:sz="0" w:space="0" w:color="auto"/>
        <w:right w:val="none" w:sz="0" w:space="0" w:color="auto"/>
      </w:divBdr>
    </w:div>
    <w:div w:id="1758938495">
      <w:bodyDiv w:val="1"/>
      <w:marLeft w:val="0"/>
      <w:marRight w:val="0"/>
      <w:marTop w:val="0"/>
      <w:marBottom w:val="0"/>
      <w:divBdr>
        <w:top w:val="none" w:sz="0" w:space="0" w:color="auto"/>
        <w:left w:val="none" w:sz="0" w:space="0" w:color="auto"/>
        <w:bottom w:val="none" w:sz="0" w:space="0" w:color="auto"/>
        <w:right w:val="none" w:sz="0" w:space="0" w:color="auto"/>
      </w:divBdr>
    </w:div>
    <w:div w:id="1855459941">
      <w:bodyDiv w:val="1"/>
      <w:marLeft w:val="0"/>
      <w:marRight w:val="0"/>
      <w:marTop w:val="0"/>
      <w:marBottom w:val="0"/>
      <w:divBdr>
        <w:top w:val="none" w:sz="0" w:space="0" w:color="auto"/>
        <w:left w:val="none" w:sz="0" w:space="0" w:color="auto"/>
        <w:bottom w:val="none" w:sz="0" w:space="0" w:color="auto"/>
        <w:right w:val="none" w:sz="0" w:space="0" w:color="auto"/>
      </w:divBdr>
    </w:div>
    <w:div w:id="1864129181">
      <w:bodyDiv w:val="1"/>
      <w:marLeft w:val="0"/>
      <w:marRight w:val="0"/>
      <w:marTop w:val="0"/>
      <w:marBottom w:val="0"/>
      <w:divBdr>
        <w:top w:val="none" w:sz="0" w:space="0" w:color="auto"/>
        <w:left w:val="none" w:sz="0" w:space="0" w:color="auto"/>
        <w:bottom w:val="none" w:sz="0" w:space="0" w:color="auto"/>
        <w:right w:val="none" w:sz="0" w:space="0" w:color="auto"/>
      </w:divBdr>
    </w:div>
    <w:div w:id="1878466319">
      <w:bodyDiv w:val="1"/>
      <w:marLeft w:val="0"/>
      <w:marRight w:val="0"/>
      <w:marTop w:val="0"/>
      <w:marBottom w:val="0"/>
      <w:divBdr>
        <w:top w:val="none" w:sz="0" w:space="0" w:color="auto"/>
        <w:left w:val="none" w:sz="0" w:space="0" w:color="auto"/>
        <w:bottom w:val="none" w:sz="0" w:space="0" w:color="auto"/>
        <w:right w:val="none" w:sz="0" w:space="0" w:color="auto"/>
      </w:divBdr>
    </w:div>
    <w:div w:id="1903909649">
      <w:bodyDiv w:val="1"/>
      <w:marLeft w:val="0"/>
      <w:marRight w:val="0"/>
      <w:marTop w:val="0"/>
      <w:marBottom w:val="0"/>
      <w:divBdr>
        <w:top w:val="none" w:sz="0" w:space="0" w:color="auto"/>
        <w:left w:val="none" w:sz="0" w:space="0" w:color="auto"/>
        <w:bottom w:val="none" w:sz="0" w:space="0" w:color="auto"/>
        <w:right w:val="none" w:sz="0" w:space="0" w:color="auto"/>
      </w:divBdr>
    </w:div>
    <w:div w:id="1938517797">
      <w:bodyDiv w:val="1"/>
      <w:marLeft w:val="0"/>
      <w:marRight w:val="0"/>
      <w:marTop w:val="0"/>
      <w:marBottom w:val="0"/>
      <w:divBdr>
        <w:top w:val="none" w:sz="0" w:space="0" w:color="auto"/>
        <w:left w:val="none" w:sz="0" w:space="0" w:color="auto"/>
        <w:bottom w:val="none" w:sz="0" w:space="0" w:color="auto"/>
        <w:right w:val="none" w:sz="0" w:space="0" w:color="auto"/>
      </w:divBdr>
    </w:div>
    <w:div w:id="2044287605">
      <w:bodyDiv w:val="1"/>
      <w:marLeft w:val="0"/>
      <w:marRight w:val="0"/>
      <w:marTop w:val="0"/>
      <w:marBottom w:val="0"/>
      <w:divBdr>
        <w:top w:val="none" w:sz="0" w:space="0" w:color="auto"/>
        <w:left w:val="none" w:sz="0" w:space="0" w:color="auto"/>
        <w:bottom w:val="none" w:sz="0" w:space="0" w:color="auto"/>
        <w:right w:val="none" w:sz="0" w:space="0" w:color="auto"/>
      </w:divBdr>
    </w:div>
    <w:div w:id="2094664710">
      <w:bodyDiv w:val="1"/>
      <w:marLeft w:val="0"/>
      <w:marRight w:val="0"/>
      <w:marTop w:val="0"/>
      <w:marBottom w:val="0"/>
      <w:divBdr>
        <w:top w:val="none" w:sz="0" w:space="0" w:color="auto"/>
        <w:left w:val="none" w:sz="0" w:space="0" w:color="auto"/>
        <w:bottom w:val="none" w:sz="0" w:space="0" w:color="auto"/>
        <w:right w:val="none" w:sz="0" w:space="0" w:color="auto"/>
      </w:divBdr>
    </w:div>
    <w:div w:id="2113546786">
      <w:bodyDiv w:val="1"/>
      <w:marLeft w:val="0"/>
      <w:marRight w:val="0"/>
      <w:marTop w:val="0"/>
      <w:marBottom w:val="0"/>
      <w:divBdr>
        <w:top w:val="none" w:sz="0" w:space="0" w:color="auto"/>
        <w:left w:val="none" w:sz="0" w:space="0" w:color="auto"/>
        <w:bottom w:val="none" w:sz="0" w:space="0" w:color="auto"/>
        <w:right w:val="none" w:sz="0" w:space="0" w:color="auto"/>
      </w:divBdr>
    </w:div>
    <w:div w:id="21228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doi.org/10.1145/2181037.2181040" TargetMode="Externa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kaggle.com/datasets/mitul1999/online-courses-usage-and-history-dataset" TargetMode="External"/><Relationship Id="rId17" Type="http://schemas.openxmlformats.org/officeDocument/2006/relationships/image" Target="media/image4.png"/><Relationship Id="rId25" Type="http://schemas.openxmlformats.org/officeDocument/2006/relationships/hyperlink" Target="https://www.businessofapps.com/data/online-courses-app-mark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www.weforum.org/reports/the-future-of-jobs-report-20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4.xml"/><Relationship Id="rId32" Type="http://schemas.openxmlformats.org/officeDocument/2006/relationships/footer" Target="footer3.xml"/><Relationship Id="rId5" Type="http://schemas.openxmlformats.org/officeDocument/2006/relationships/customXml" Target="../customXml/item5.xml"/><Relationship Id="rId15" Type="http://schemas.microsoft.com/office/2014/relationships/chartEx" Target="charts/chartEx1.xml"/><Relationship Id="rId23" Type="http://schemas.openxmlformats.org/officeDocument/2006/relationships/chart" Target="charts/chart3.xml"/><Relationship Id="rId28" Type="http://schemas.openxmlformats.org/officeDocument/2006/relationships/hyperlink" Target="https://www.polarismarketresearch.com/industry-analysis/e-learning-market" TargetMode="External"/><Relationship Id="rId10" Type="http://schemas.openxmlformats.org/officeDocument/2006/relationships/footnotes" Target="footnotes.xml"/><Relationship Id="rId19" Type="http://schemas.microsoft.com/office/2014/relationships/chartEx" Target="charts/chartEx2.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chart" Target="charts/chart2.xml"/><Relationship Id="rId27" Type="http://schemas.openxmlformats.org/officeDocument/2006/relationships/hyperlink" Target="https://elearning.adobe.com/2022/03/elearning-trends-in-2022-how-to-leverage-them-to-design-high-impact-ld-programs-for-the-hybrid-workforce/" TargetMode="External"/><Relationship Id="rId30" Type="http://schemas.openxmlformats.org/officeDocument/2006/relationships/footer" Target="footer1.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ucliveac-my.sharepoint.com/personal/ha_tran_canterbury_ac_nz/Documents/MCBI%20course/Assessment/Assessment%20templates/Online%20course%20uses%20data%20clean%20analysis.xlsx" TargetMode="External"/><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3" Type="http://schemas.openxmlformats.org/officeDocument/2006/relationships/oleObject" Target="https://ucliveac-my.sharepoint.com/personal/ha_tran_canterbury_ac_nz/Documents/MCBI%20course/Assessment/Assessment%20templates/Online%20course%20uses%20data%20clean%20analysis.xlsx" TargetMode="External"/><Relationship Id="rId2" Type="http://schemas.microsoft.com/office/2011/relationships/chartColorStyle" Target="colors4.xml"/><Relationship Id="rId1" Type="http://schemas.microsoft.com/office/2011/relationships/chartStyle" Target="style4.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4.xml.rels><?xml version="1.0" encoding="UTF-8" standalone="yes"?>
<Relationships xmlns="http://schemas.openxmlformats.org/package/2006/relationships"><Relationship Id="rId3" Type="http://schemas.openxmlformats.org/officeDocument/2006/relationships/oleObject" Target="https://ucliveac-my.sharepoint.com/personal/ha_tran_canterbury_ac_nz/Documents/MCBI%20course/Assessment/Assessment%20templates/Assessment%202/ANOVA%20.xlsx" TargetMode="External"/><Relationship Id="rId2" Type="http://schemas.microsoft.com/office/2011/relationships/chartColorStyle" Target="colors6.xml"/><Relationship Id="rId1" Type="http://schemas.microsoft.com/office/2011/relationships/chartStyle" Target="style6.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ucliveac-my.sharepoint.com/personal/ha_tran_canterbury_ac_nz/Documents/MCBI%20course/Assessment/Assessment%20templates/Assessment%202/ANOVA%20.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[Online course uses data clean analysis.xlsx]course duration on ratings!PivotTable7</c:name>
    <c:fmtId val="-1"/>
  </c:pivotSource>
  <c:chart>
    <c:title>
      <c:tx>
        <c:rich>
          <a:bodyPr rot="0" spcFirstLastPara="1" vertOverflow="ellipsis" vert="horz" wrap="square" anchor="ctr" anchorCtr="1"/>
          <a:lstStyle/>
          <a:p>
            <a:pPr>
              <a:defRPr sz="10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NZ" sz="1000" b="0" i="0" u="none" strike="noStrike" baseline="0">
                <a:solidFill>
                  <a:sysClr val="windowText" lastClr="000000"/>
                </a:solidFill>
                <a:effectLst/>
                <a:latin typeface="Calibri" panose="020F0502020204030204" pitchFamily="34" charset="0"/>
                <a:ea typeface="Calibri" panose="020F0502020204030204" pitchFamily="34" charset="0"/>
                <a:cs typeface="Calibri" panose="020F0502020204030204" pitchFamily="34" charset="0"/>
              </a:rPr>
              <a:t>Average rating and completion rate by course duration</a:t>
            </a:r>
            <a:endParaRPr lang="en-NZ" sz="100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N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cap="rnd">
            <a:solidFill>
              <a:schemeClr val="accent1"/>
            </a:solidFill>
            <a:round/>
          </a:ln>
          <a:effectLst/>
        </c:spPr>
        <c:marker>
          <c:symbol val="none"/>
        </c:marker>
        <c:dLbl>
          <c:idx val="0"/>
          <c:layout>
            <c:manualLayout>
              <c:x val="7.2202172906390008E-3"/>
              <c:y val="1.7115958326549216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19050" cap="rnd">
            <a:solidFill>
              <a:schemeClr val="accent1"/>
            </a:solidFill>
            <a:round/>
          </a:ln>
          <a:effectLst/>
        </c:spPr>
        <c:marker>
          <c:symbol val="none"/>
        </c:marker>
        <c:dLbl>
          <c:idx val="0"/>
          <c:layout>
            <c:manualLayout>
              <c:x val="1.0830325935958568E-2"/>
              <c:y val="-1.1981170828584953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19050" cap="rnd">
            <a:solidFill>
              <a:schemeClr val="accent1"/>
            </a:solidFill>
            <a:round/>
          </a:ln>
          <a:effectLst/>
        </c:spPr>
        <c:marker>
          <c:symbol val="none"/>
        </c:marker>
        <c:dLbl>
          <c:idx val="0"/>
          <c:layout>
            <c:manualLayout>
              <c:x val="1.0830325935958568E-2"/>
              <c:y val="1.7115958326549216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w="19050" cap="rnd">
            <a:solidFill>
              <a:schemeClr val="accent1"/>
            </a:solidFill>
            <a:round/>
          </a:ln>
          <a:effectLst/>
        </c:spPr>
        <c:marker>
          <c:symbol val="none"/>
        </c:marker>
        <c:dLbl>
          <c:idx val="0"/>
          <c:layout>
            <c:manualLayout>
              <c:x val="9.6269563875187158E-3"/>
              <c:y val="-5.1347874979649532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w="19050" cap="rnd">
            <a:solidFill>
              <a:schemeClr val="accent2"/>
            </a:solidFill>
            <a:round/>
          </a:ln>
          <a:effectLst>
            <a:softEdge rad="0"/>
          </a:effectLst>
        </c:spPr>
        <c:marker>
          <c:symbol val="none"/>
        </c:marker>
      </c:pivotFmt>
      <c:pivotFmt>
        <c:idx val="7"/>
        <c:spPr>
          <a:solidFill>
            <a:schemeClr val="accent1"/>
          </a:solidFill>
          <a:ln w="19050" cap="rnd">
            <a:solidFill>
              <a:schemeClr val="accent1"/>
            </a:solidFill>
            <a:round/>
          </a:ln>
          <a:effectLst/>
        </c:spPr>
        <c:marker>
          <c:symbol val="none"/>
        </c:marker>
        <c:dLbl>
          <c:idx val="0"/>
          <c:layout>
            <c:manualLayout>
              <c:x val="1.0827068694767031E-2"/>
              <c:y val="-8.5579791632749216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cap="rnd">
            <a:solidFill>
              <a:schemeClr val="accent1"/>
            </a:solidFill>
            <a:round/>
          </a:ln>
          <a:effectLst/>
        </c:spPr>
        <c:marker>
          <c:symbol val="none"/>
        </c:marker>
        <c:dLbl>
          <c:idx val="0"/>
          <c:layout>
            <c:manualLayout>
              <c:x val="1.56390992257746E-2"/>
              <c:y val="-1.0269574995929906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19050" cap="rnd">
            <a:solidFill>
              <a:schemeClr val="accent2"/>
            </a:solidFill>
            <a:round/>
          </a:ln>
          <a:effectLst/>
        </c:spPr>
        <c:marker>
          <c:symbol val="none"/>
        </c:marker>
        <c:dLbl>
          <c:idx val="0"/>
          <c:layout>
            <c:manualLayout>
              <c:x val="6.0150381637594612E-3"/>
              <c:y val="-6.8172125491463322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19050"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w="19050" cap="rnd">
            <a:solidFill>
              <a:schemeClr val="accent2"/>
            </a:solidFill>
            <a:round/>
          </a:ln>
          <a:effectLst/>
        </c:spPr>
        <c:marker>
          <c:symbol val="none"/>
        </c:marker>
        <c:dLbl>
          <c:idx val="0"/>
          <c:layout>
            <c:manualLayout>
              <c:x val="9.6269563875187158E-3"/>
              <c:y val="-5.1347874979649532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w="19050" cap="rnd">
            <a:solidFill>
              <a:schemeClr val="accent2"/>
            </a:solidFill>
            <a:round/>
          </a:ln>
          <a:effectLst/>
        </c:spPr>
        <c:marker>
          <c:symbol val="none"/>
        </c:marker>
        <c:dLbl>
          <c:idx val="0"/>
          <c:layout>
            <c:manualLayout>
              <c:x val="1.0830325935958568E-2"/>
              <c:y val="1.7115958326549216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w="19050" cap="rnd">
            <a:solidFill>
              <a:schemeClr val="accent2"/>
            </a:solidFill>
            <a:round/>
          </a:ln>
          <a:effectLst/>
        </c:spPr>
        <c:marker>
          <c:symbol val="none"/>
        </c:marker>
        <c:dLbl>
          <c:idx val="0"/>
          <c:layout>
            <c:manualLayout>
              <c:x val="1.0830325935958568E-2"/>
              <c:y val="-1.1981170828584953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w="19050" cap="rnd">
            <a:solidFill>
              <a:schemeClr val="accent2"/>
            </a:solidFill>
            <a:round/>
          </a:ln>
          <a:effectLst/>
        </c:spPr>
        <c:marker>
          <c:symbol val="none"/>
        </c:marker>
        <c:dLbl>
          <c:idx val="0"/>
          <c:layout>
            <c:manualLayout>
              <c:x val="7.2202172906390008E-3"/>
              <c:y val="1.7115958326549216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w="19050" cap="rnd">
            <a:solidFill>
              <a:schemeClr val="accent2"/>
            </a:solidFill>
            <a:round/>
          </a:ln>
          <a:effectLst/>
        </c:spPr>
        <c:marker>
          <c:symbol val="none"/>
        </c:marker>
        <c:dLbl>
          <c:idx val="0"/>
          <c:layout>
            <c:manualLayout>
              <c:x val="1.56390992257746E-2"/>
              <c:y val="-1.0269574995929906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w="19050" cap="rnd">
            <a:solidFill>
              <a:schemeClr val="accent2"/>
            </a:solidFill>
            <a:round/>
          </a:ln>
          <a:effectLst/>
        </c:spPr>
        <c:marker>
          <c:symbol val="none"/>
        </c:marker>
        <c:dLbl>
          <c:idx val="0"/>
          <c:layout>
            <c:manualLayout>
              <c:x val="1.0827068694767031E-2"/>
              <c:y val="-8.5579791632749216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w="19050" cap="rnd">
            <a:solidFill>
              <a:schemeClr val="accent2"/>
            </a:solidFill>
            <a:round/>
          </a:ln>
          <a:effectLst>
            <a:softEdge rad="0"/>
          </a:effectLst>
        </c:spPr>
        <c:marker>
          <c:symbol val="none"/>
        </c:marker>
      </c:pivotFmt>
      <c:pivotFmt>
        <c:idx val="19"/>
        <c:spPr>
          <a:solidFill>
            <a:schemeClr val="accent1"/>
          </a:solidFill>
          <a:ln w="19050" cap="rnd">
            <a:solidFill>
              <a:schemeClr val="accent2"/>
            </a:solidFill>
            <a:round/>
          </a:ln>
          <a:effectLst/>
        </c:spPr>
        <c:marker>
          <c:symbol val="none"/>
        </c:marker>
        <c:dLbl>
          <c:idx val="0"/>
          <c:layout>
            <c:manualLayout>
              <c:x val="6.0150381637594612E-3"/>
              <c:y val="-6.8172125491463322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19050"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w="19050" cap="rnd">
            <a:solidFill>
              <a:schemeClr val="accent2"/>
            </a:solidFill>
            <a:round/>
          </a:ln>
          <a:effectLst/>
        </c:spPr>
        <c:marker>
          <c:symbol val="none"/>
        </c:marker>
        <c:dLbl>
          <c:idx val="0"/>
          <c:layout>
            <c:manualLayout>
              <c:x val="9.6269563875187158E-3"/>
              <c:y val="-5.1347874979649532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w="19050" cap="rnd">
            <a:solidFill>
              <a:schemeClr val="accent2"/>
            </a:solidFill>
            <a:round/>
          </a:ln>
          <a:effectLst/>
        </c:spPr>
        <c:marker>
          <c:symbol val="none"/>
        </c:marker>
        <c:dLbl>
          <c:idx val="0"/>
          <c:layout>
            <c:manualLayout>
              <c:x val="1.0830325935958568E-2"/>
              <c:y val="1.7115958326549216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w="19050" cap="rnd">
            <a:solidFill>
              <a:schemeClr val="accent2"/>
            </a:solidFill>
            <a:round/>
          </a:ln>
          <a:effectLst/>
        </c:spPr>
        <c:marker>
          <c:symbol val="none"/>
        </c:marker>
        <c:dLbl>
          <c:idx val="0"/>
          <c:layout>
            <c:manualLayout>
              <c:x val="1.0830325935958568E-2"/>
              <c:y val="-1.1981170828584953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w="19050" cap="rnd">
            <a:solidFill>
              <a:schemeClr val="accent2"/>
            </a:solidFill>
            <a:round/>
          </a:ln>
          <a:effectLst/>
        </c:spPr>
        <c:marker>
          <c:symbol val="none"/>
        </c:marker>
        <c:dLbl>
          <c:idx val="0"/>
          <c:layout>
            <c:manualLayout>
              <c:x val="7.2202172906390008E-3"/>
              <c:y val="1.7115958326549216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solidFill>
          <a:ln w="19050" cap="rnd">
            <a:solidFill>
              <a:schemeClr val="accent2"/>
            </a:solidFill>
            <a:round/>
          </a:ln>
          <a:effectLst/>
        </c:spPr>
        <c:marker>
          <c:symbol val="none"/>
        </c:marker>
        <c:dLbl>
          <c:idx val="0"/>
          <c:layout>
            <c:manualLayout>
              <c:x val="1.56390992257746E-2"/>
              <c:y val="-1.0269574995929906E-2"/>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w="19050" cap="rnd">
            <a:solidFill>
              <a:schemeClr val="accent2"/>
            </a:solidFill>
            <a:round/>
          </a:ln>
          <a:effectLst/>
        </c:spPr>
        <c:marker>
          <c:symbol val="none"/>
        </c:marker>
        <c:dLbl>
          <c:idx val="0"/>
          <c:layout>
            <c:manualLayout>
              <c:x val="1.0827068694767031E-2"/>
              <c:y val="-8.5579791632749216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solidFill>
          <a:ln w="19050" cap="rnd">
            <a:solidFill>
              <a:schemeClr val="accent2"/>
            </a:solidFill>
            <a:round/>
          </a:ln>
          <a:effectLst>
            <a:softEdge rad="0"/>
          </a:effectLst>
        </c:spPr>
        <c:marker>
          <c:symbol val="none"/>
        </c:marker>
      </c:pivotFmt>
      <c:pivotFmt>
        <c:idx val="29"/>
        <c:spPr>
          <a:solidFill>
            <a:schemeClr val="accent1"/>
          </a:solidFill>
          <a:ln w="19050" cap="rnd">
            <a:solidFill>
              <a:schemeClr val="accent2"/>
            </a:solidFill>
            <a:round/>
          </a:ln>
          <a:effectLst/>
        </c:spPr>
        <c:marker>
          <c:symbol val="none"/>
        </c:marker>
        <c:dLbl>
          <c:idx val="0"/>
          <c:layout>
            <c:manualLayout>
              <c:x val="6.0150381637594612E-3"/>
              <c:y val="-6.8172125491463322E-3"/>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'course duration on ratings'!$B$3</c:f>
              <c:strCache>
                <c:ptCount val="1"/>
                <c:pt idx="0">
                  <c:v>Average of Rating (out of 5)</c:v>
                </c:pt>
              </c:strCache>
            </c:strRef>
          </c:tx>
          <c:spPr>
            <a:solidFill>
              <a:schemeClr val="accent1"/>
            </a:solidFill>
            <a:ln>
              <a:noFill/>
            </a:ln>
            <a:effectLst/>
          </c:spPr>
          <c:invertIfNegative val="0"/>
          <c:cat>
            <c:strRef>
              <c:f>'course duration on ratings'!$A$4:$A$13</c:f>
              <c:strCache>
                <c:ptCount val="9"/>
                <c:pt idx="0">
                  <c:v>10-20 Hours</c:v>
                </c:pt>
                <c:pt idx="1">
                  <c:v>20-30 Hours</c:v>
                </c:pt>
                <c:pt idx="2">
                  <c:v>30-40 Hours</c:v>
                </c:pt>
                <c:pt idx="3">
                  <c:v>40-50 Hours</c:v>
                </c:pt>
                <c:pt idx="4">
                  <c:v>50-60 Hours</c:v>
                </c:pt>
                <c:pt idx="5">
                  <c:v>60-70 Hours</c:v>
                </c:pt>
                <c:pt idx="6">
                  <c:v>70-80 Hours</c:v>
                </c:pt>
                <c:pt idx="7">
                  <c:v>80-90 Hours</c:v>
                </c:pt>
                <c:pt idx="8">
                  <c:v>90+ Hours</c:v>
                </c:pt>
              </c:strCache>
            </c:strRef>
          </c:cat>
          <c:val>
            <c:numRef>
              <c:f>'course duration on ratings'!$B$4:$B$13</c:f>
              <c:numCache>
                <c:formatCode>0.00</c:formatCode>
                <c:ptCount val="9"/>
                <c:pt idx="0">
                  <c:v>4.0136440677966112</c:v>
                </c:pt>
                <c:pt idx="1">
                  <c:v>3.9996380090497747</c:v>
                </c:pt>
                <c:pt idx="2">
                  <c:v>3.996642468239568</c:v>
                </c:pt>
                <c:pt idx="3">
                  <c:v>4.0124094202898544</c:v>
                </c:pt>
                <c:pt idx="4">
                  <c:v>3.9676812891674165</c:v>
                </c:pt>
                <c:pt idx="5">
                  <c:v>3.9702629193109731</c:v>
                </c:pt>
                <c:pt idx="6">
                  <c:v>4.0232159847764031</c:v>
                </c:pt>
                <c:pt idx="7">
                  <c:v>3.9634767339771741</c:v>
                </c:pt>
                <c:pt idx="8">
                  <c:v>4.0020018198362193</c:v>
                </c:pt>
              </c:numCache>
            </c:numRef>
          </c:val>
          <c:extLst>
            <c:ext xmlns:c16="http://schemas.microsoft.com/office/drawing/2014/chart" uri="{C3380CC4-5D6E-409C-BE32-E72D297353CC}">
              <c16:uniqueId val="{00000000-C0C7-4927-AF99-1ADE994C677F}"/>
            </c:ext>
          </c:extLst>
        </c:ser>
        <c:dLbls>
          <c:showLegendKey val="0"/>
          <c:showVal val="0"/>
          <c:showCatName val="0"/>
          <c:showSerName val="0"/>
          <c:showPercent val="0"/>
          <c:showBubbleSize val="0"/>
        </c:dLbls>
        <c:gapWidth val="219"/>
        <c:overlap val="-27"/>
        <c:axId val="618484751"/>
        <c:axId val="618482831"/>
      </c:barChart>
      <c:lineChart>
        <c:grouping val="standard"/>
        <c:varyColors val="0"/>
        <c:ser>
          <c:idx val="1"/>
          <c:order val="1"/>
          <c:tx>
            <c:strRef>
              <c:f>'course duration on ratings'!$C$3</c:f>
              <c:strCache>
                <c:ptCount val="1"/>
                <c:pt idx="0">
                  <c:v>Average of Completion_Rate (%)</c:v>
                </c:pt>
              </c:strCache>
            </c:strRef>
          </c:tx>
          <c:spPr>
            <a:ln w="19050" cap="rnd">
              <a:solidFill>
                <a:schemeClr val="accent2"/>
              </a:solidFill>
              <a:round/>
            </a:ln>
            <a:effectLst/>
          </c:spPr>
          <c:marker>
            <c:symbol val="none"/>
          </c:marker>
          <c:dPt>
            <c:idx val="0"/>
            <c:marker>
              <c:symbol val="none"/>
            </c:marker>
            <c:bubble3D val="0"/>
            <c:spPr>
              <a:ln w="19050" cap="rnd">
                <a:solidFill>
                  <a:schemeClr val="accent2"/>
                </a:solidFill>
                <a:round/>
              </a:ln>
              <a:effectLst/>
            </c:spPr>
            <c:extLst>
              <c:ext xmlns:c16="http://schemas.microsoft.com/office/drawing/2014/chart" uri="{C3380CC4-5D6E-409C-BE32-E72D297353CC}">
                <c16:uniqueId val="{00000002-C0C7-4927-AF99-1ADE994C677F}"/>
              </c:ext>
            </c:extLst>
          </c:dPt>
          <c:dPt>
            <c:idx val="1"/>
            <c:marker>
              <c:symbol val="none"/>
            </c:marker>
            <c:bubble3D val="0"/>
            <c:spPr>
              <a:ln w="19050" cap="rnd">
                <a:solidFill>
                  <a:schemeClr val="accent2"/>
                </a:solidFill>
                <a:round/>
              </a:ln>
              <a:effectLst/>
            </c:spPr>
            <c:extLst>
              <c:ext xmlns:c16="http://schemas.microsoft.com/office/drawing/2014/chart" uri="{C3380CC4-5D6E-409C-BE32-E72D297353CC}">
                <c16:uniqueId val="{00000004-C0C7-4927-AF99-1ADE994C677F}"/>
              </c:ext>
            </c:extLst>
          </c:dPt>
          <c:dPt>
            <c:idx val="2"/>
            <c:marker>
              <c:symbol val="none"/>
            </c:marker>
            <c:bubble3D val="0"/>
            <c:spPr>
              <a:ln w="19050" cap="rnd">
                <a:solidFill>
                  <a:schemeClr val="accent2"/>
                </a:solidFill>
                <a:round/>
              </a:ln>
              <a:effectLst/>
            </c:spPr>
            <c:extLst>
              <c:ext xmlns:c16="http://schemas.microsoft.com/office/drawing/2014/chart" uri="{C3380CC4-5D6E-409C-BE32-E72D297353CC}">
                <c16:uniqueId val="{00000006-C0C7-4927-AF99-1ADE994C677F}"/>
              </c:ext>
            </c:extLst>
          </c:dPt>
          <c:dPt>
            <c:idx val="3"/>
            <c:marker>
              <c:symbol val="none"/>
            </c:marker>
            <c:bubble3D val="0"/>
            <c:spPr>
              <a:ln w="19050" cap="rnd">
                <a:solidFill>
                  <a:schemeClr val="accent2"/>
                </a:solidFill>
                <a:round/>
              </a:ln>
              <a:effectLst/>
            </c:spPr>
            <c:extLst>
              <c:ext xmlns:c16="http://schemas.microsoft.com/office/drawing/2014/chart" uri="{C3380CC4-5D6E-409C-BE32-E72D297353CC}">
                <c16:uniqueId val="{00000008-C0C7-4927-AF99-1ADE994C677F}"/>
              </c:ext>
            </c:extLst>
          </c:dPt>
          <c:dPt>
            <c:idx val="5"/>
            <c:marker>
              <c:symbol val="none"/>
            </c:marker>
            <c:bubble3D val="0"/>
            <c:spPr>
              <a:ln w="19050" cap="rnd">
                <a:solidFill>
                  <a:schemeClr val="accent2"/>
                </a:solidFill>
                <a:round/>
              </a:ln>
              <a:effectLst/>
            </c:spPr>
            <c:extLst>
              <c:ext xmlns:c16="http://schemas.microsoft.com/office/drawing/2014/chart" uri="{C3380CC4-5D6E-409C-BE32-E72D297353CC}">
                <c16:uniqueId val="{0000000A-C0C7-4927-AF99-1ADE994C677F}"/>
              </c:ext>
            </c:extLst>
          </c:dPt>
          <c:dPt>
            <c:idx val="6"/>
            <c:marker>
              <c:symbol val="none"/>
            </c:marker>
            <c:bubble3D val="0"/>
            <c:spPr>
              <a:ln w="19050" cap="rnd">
                <a:solidFill>
                  <a:schemeClr val="accent2"/>
                </a:solidFill>
                <a:round/>
              </a:ln>
              <a:effectLst/>
            </c:spPr>
            <c:extLst>
              <c:ext xmlns:c16="http://schemas.microsoft.com/office/drawing/2014/chart" uri="{C3380CC4-5D6E-409C-BE32-E72D297353CC}">
                <c16:uniqueId val="{0000000C-C0C7-4927-AF99-1ADE994C677F}"/>
              </c:ext>
            </c:extLst>
          </c:dPt>
          <c:dPt>
            <c:idx val="7"/>
            <c:marker>
              <c:symbol val="none"/>
            </c:marker>
            <c:bubble3D val="0"/>
            <c:spPr>
              <a:ln w="19050" cap="rnd">
                <a:solidFill>
                  <a:schemeClr val="accent2"/>
                </a:solidFill>
                <a:round/>
              </a:ln>
              <a:effectLst>
                <a:softEdge rad="0"/>
              </a:effectLst>
            </c:spPr>
            <c:extLst>
              <c:ext xmlns:c16="http://schemas.microsoft.com/office/drawing/2014/chart" uri="{C3380CC4-5D6E-409C-BE32-E72D297353CC}">
                <c16:uniqueId val="{0000000E-C0C7-4927-AF99-1ADE994C677F}"/>
              </c:ext>
            </c:extLst>
          </c:dPt>
          <c:dLbls>
            <c:dLbl>
              <c:idx val="0"/>
              <c:layout>
                <c:manualLayout>
                  <c:x val="9.6269563875187158E-3"/>
                  <c:y val="-5.13478749796495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C7-4927-AF99-1ADE994C677F}"/>
                </c:ext>
              </c:extLst>
            </c:dLbl>
            <c:dLbl>
              <c:idx val="1"/>
              <c:layout>
                <c:manualLayout>
                  <c:x val="1.0830325935958568E-2"/>
                  <c:y val="1.71159583265492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C7-4927-AF99-1ADE994C677F}"/>
                </c:ext>
              </c:extLst>
            </c:dLbl>
            <c:dLbl>
              <c:idx val="2"/>
              <c:layout>
                <c:manualLayout>
                  <c:x val="1.0830325935958568E-2"/>
                  <c:y val="-1.1981170828584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C7-4927-AF99-1ADE994C677F}"/>
                </c:ext>
              </c:extLst>
            </c:dLbl>
            <c:dLbl>
              <c:idx val="3"/>
              <c:layout>
                <c:manualLayout>
                  <c:x val="7.2202172906390008E-3"/>
                  <c:y val="1.71159583265492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0C7-4927-AF99-1ADE994C677F}"/>
                </c:ext>
              </c:extLst>
            </c:dLbl>
            <c:dLbl>
              <c:idx val="5"/>
              <c:layout>
                <c:manualLayout>
                  <c:x val="1.56390992257746E-2"/>
                  <c:y val="-1.0269574995929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0C7-4927-AF99-1ADE994C677F}"/>
                </c:ext>
              </c:extLst>
            </c:dLbl>
            <c:dLbl>
              <c:idx val="6"/>
              <c:layout>
                <c:manualLayout>
                  <c:x val="1.0827068694767031E-2"/>
                  <c:y val="-8.55797916327492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0C7-4927-AF99-1ADE994C677F}"/>
                </c:ext>
              </c:extLst>
            </c:dLbl>
            <c:dLbl>
              <c:idx val="8"/>
              <c:layout>
                <c:manualLayout>
                  <c:x val="6.0150381637594612E-3"/>
                  <c:y val="-6.81721254914633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0C7-4927-AF99-1ADE994C677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'course duration on ratings'!$A$4:$A$13</c:f>
              <c:strCache>
                <c:ptCount val="9"/>
                <c:pt idx="0">
                  <c:v>10-20 Hours</c:v>
                </c:pt>
                <c:pt idx="1">
                  <c:v>20-30 Hours</c:v>
                </c:pt>
                <c:pt idx="2">
                  <c:v>30-40 Hours</c:v>
                </c:pt>
                <c:pt idx="3">
                  <c:v>40-50 Hours</c:v>
                </c:pt>
                <c:pt idx="4">
                  <c:v>50-60 Hours</c:v>
                </c:pt>
                <c:pt idx="5">
                  <c:v>60-70 Hours</c:v>
                </c:pt>
                <c:pt idx="6">
                  <c:v>70-80 Hours</c:v>
                </c:pt>
                <c:pt idx="7">
                  <c:v>80-90 Hours</c:v>
                </c:pt>
                <c:pt idx="8">
                  <c:v>90+ Hours</c:v>
                </c:pt>
              </c:strCache>
            </c:strRef>
          </c:cat>
          <c:val>
            <c:numRef>
              <c:f>'course duration on ratings'!$C$4:$C$13</c:f>
              <c:numCache>
                <c:formatCode>0.00</c:formatCode>
                <c:ptCount val="9"/>
                <c:pt idx="0">
                  <c:v>74.621847457627126</c:v>
                </c:pt>
                <c:pt idx="1">
                  <c:v>75.000959276018122</c:v>
                </c:pt>
                <c:pt idx="2">
                  <c:v>75.373584392014507</c:v>
                </c:pt>
                <c:pt idx="3">
                  <c:v>75.303605072463853</c:v>
                </c:pt>
                <c:pt idx="4">
                  <c:v>74.879453894359969</c:v>
                </c:pt>
                <c:pt idx="5">
                  <c:v>74.580888485947497</c:v>
                </c:pt>
                <c:pt idx="6">
                  <c:v>75.101988582302582</c:v>
                </c:pt>
                <c:pt idx="7">
                  <c:v>76.003538191396004</c:v>
                </c:pt>
                <c:pt idx="8">
                  <c:v>75.220309372156521</c:v>
                </c:pt>
              </c:numCache>
            </c:numRef>
          </c:val>
          <c:smooth val="0"/>
          <c:extLst>
            <c:ext xmlns:c16="http://schemas.microsoft.com/office/drawing/2014/chart" uri="{C3380CC4-5D6E-409C-BE32-E72D297353CC}">
              <c16:uniqueId val="{00000010-C0C7-4927-AF99-1ADE994C677F}"/>
            </c:ext>
          </c:extLst>
        </c:ser>
        <c:dLbls>
          <c:showLegendKey val="0"/>
          <c:showVal val="0"/>
          <c:showCatName val="0"/>
          <c:showSerName val="0"/>
          <c:showPercent val="0"/>
          <c:showBubbleSize val="0"/>
        </c:dLbls>
        <c:marker val="1"/>
        <c:smooth val="0"/>
        <c:axId val="618480911"/>
        <c:axId val="618481391"/>
      </c:lineChart>
      <c:catAx>
        <c:axId val="618484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18482831"/>
        <c:crosses val="autoZero"/>
        <c:auto val="1"/>
        <c:lblAlgn val="ctr"/>
        <c:lblOffset val="100"/>
        <c:noMultiLvlLbl val="0"/>
      </c:catAx>
      <c:valAx>
        <c:axId val="61848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NZ" sz="100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Rating</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18484751"/>
        <c:crosses val="autoZero"/>
        <c:crossBetween val="between"/>
      </c:valAx>
      <c:valAx>
        <c:axId val="618481391"/>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NZ" sz="100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Completion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18480911"/>
        <c:crosses val="max"/>
        <c:crossBetween val="between"/>
      </c:valAx>
      <c:catAx>
        <c:axId val="618480911"/>
        <c:scaling>
          <c:orientation val="minMax"/>
        </c:scaling>
        <c:delete val="1"/>
        <c:axPos val="b"/>
        <c:numFmt formatCode="General" sourceLinked="1"/>
        <c:majorTickMark val="out"/>
        <c:minorTickMark val="none"/>
        <c:tickLblPos val="nextTo"/>
        <c:crossAx val="618481391"/>
        <c:crosses val="autoZero"/>
        <c:auto val="1"/>
        <c:lblAlgn val="ctr"/>
        <c:lblOffset val="100"/>
        <c:noMultiLvlLbl val="0"/>
      </c:catAx>
      <c:spPr>
        <a:noFill/>
        <a:ln>
          <a:noFill/>
        </a:ln>
        <a:effectLst/>
      </c:spPr>
    </c:plotArea>
    <c:legend>
      <c:legendPos val="b"/>
      <c:layout>
        <c:manualLayout>
          <c:xMode val="edge"/>
          <c:yMode val="edge"/>
          <c:x val="0.44539206437826073"/>
          <c:y val="0.93123795396621822"/>
          <c:w val="0.52526808232100575"/>
          <c:h val="5.874540578634111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5875" cap="flat" cmpd="sng" algn="ctr">
      <a:solidFill>
        <a:schemeClr val="tx1"/>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[Online course uses data clean analysis.xlsx]Sheet2!PivotTable6</c:name>
    <c:fmtId val="-1"/>
  </c:pivotSource>
  <c:chart>
    <c:title>
      <c:tx>
        <c:rich>
          <a:bodyPr rot="0" spcFirstLastPara="1" vertOverflow="ellipsis" vert="horz" wrap="square" anchor="ctr" anchorCtr="1"/>
          <a:lstStyle/>
          <a:p>
            <a:pPr>
              <a:defRPr sz="1300" b="0" i="0" u="none" strike="noStrike" kern="1200" spc="0" baseline="0">
                <a:solidFill>
                  <a:sysClr val="windowText" lastClr="000000"/>
                </a:solidFill>
                <a:latin typeface="+mn-lt"/>
                <a:ea typeface="+mn-ea"/>
                <a:cs typeface="+mn-cs"/>
              </a:defRPr>
            </a:pPr>
            <a:r>
              <a:rPr lang="en-NZ" sz="13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Platform performance: Enrolment, Rating &amp; Completion Rate</a:t>
            </a:r>
            <a:endParaRPr lang="en-NZ" sz="130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300" b="0" i="0" u="none" strike="noStrike" kern="1200" spc="0" baseline="0">
              <a:solidFill>
                <a:sysClr val="windowText" lastClr="000000"/>
              </a:solidFill>
              <a:latin typeface="+mn-lt"/>
              <a:ea typeface="+mn-ea"/>
              <a:cs typeface="+mn-cs"/>
            </a:defRPr>
          </a:pPr>
          <a:endParaRPr lang="en-NZ"/>
        </a:p>
      </c:txPr>
    </c:title>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2"/>
          <c:order val="2"/>
          <c:tx>
            <c:strRef>
              <c:f>Sheet2!$D$3</c:f>
              <c:strCache>
                <c:ptCount val="1"/>
                <c:pt idx="0">
                  <c:v>Sum of enrolled students</c:v>
                </c:pt>
              </c:strCache>
            </c:strRef>
          </c:tx>
          <c:spPr>
            <a:solidFill>
              <a:schemeClr val="accent3"/>
            </a:solidFill>
            <a:ln>
              <a:noFill/>
            </a:ln>
            <a:effectLst/>
          </c:spPr>
          <c:invertIfNegative val="0"/>
          <c:cat>
            <c:strRef>
              <c:f>Sheet2!$A$4:$A$7</c:f>
              <c:strCache>
                <c:ptCount val="4"/>
                <c:pt idx="0">
                  <c:v>Coursera</c:v>
                </c:pt>
                <c:pt idx="1">
                  <c:v>edX</c:v>
                </c:pt>
                <c:pt idx="2">
                  <c:v>LinkedIn Learning</c:v>
                </c:pt>
                <c:pt idx="3">
                  <c:v>Udemy</c:v>
                </c:pt>
              </c:strCache>
            </c:strRef>
          </c:cat>
          <c:val>
            <c:numRef>
              <c:f>Sheet2!$D$4:$D$7</c:f>
              <c:numCache>
                <c:formatCode>0</c:formatCode>
                <c:ptCount val="4"/>
                <c:pt idx="0">
                  <c:v>6212505</c:v>
                </c:pt>
                <c:pt idx="1">
                  <c:v>6232148</c:v>
                </c:pt>
                <c:pt idx="2">
                  <c:v>6323600</c:v>
                </c:pt>
                <c:pt idx="3">
                  <c:v>6538277</c:v>
                </c:pt>
              </c:numCache>
            </c:numRef>
          </c:val>
          <c:extLst>
            <c:ext xmlns:c16="http://schemas.microsoft.com/office/drawing/2014/chart" uri="{C3380CC4-5D6E-409C-BE32-E72D297353CC}">
              <c16:uniqueId val="{00000000-1FB2-46EC-8D88-A2D699FFAF4C}"/>
            </c:ext>
          </c:extLst>
        </c:ser>
        <c:dLbls>
          <c:showLegendKey val="0"/>
          <c:showVal val="0"/>
          <c:showCatName val="0"/>
          <c:showSerName val="0"/>
          <c:showPercent val="0"/>
          <c:showBubbleSize val="0"/>
        </c:dLbls>
        <c:gapWidth val="219"/>
        <c:axId val="1233352592"/>
        <c:axId val="1233353072"/>
      </c:barChart>
      <c:lineChart>
        <c:grouping val="standard"/>
        <c:varyColors val="0"/>
        <c:ser>
          <c:idx val="0"/>
          <c:order val="0"/>
          <c:tx>
            <c:strRef>
              <c:f>Sheet2!$B$3</c:f>
              <c:strCache>
                <c:ptCount val="1"/>
                <c:pt idx="0">
                  <c:v>Average of completion rate (%)</c:v>
                </c:pt>
              </c:strCache>
            </c:strRef>
          </c:tx>
          <c:spPr>
            <a:ln w="28575" cap="rnd">
              <a:solidFill>
                <a:schemeClr val="accent1"/>
              </a:solidFill>
              <a:round/>
            </a:ln>
            <a:effectLst/>
          </c:spPr>
          <c:marker>
            <c:symbol val="none"/>
          </c:marker>
          <c:cat>
            <c:strRef>
              <c:f>Sheet2!$A$4:$A$7</c:f>
              <c:strCache>
                <c:ptCount val="4"/>
                <c:pt idx="0">
                  <c:v>Coursera</c:v>
                </c:pt>
                <c:pt idx="1">
                  <c:v>edX</c:v>
                </c:pt>
                <c:pt idx="2">
                  <c:v>LinkedIn Learning</c:v>
                </c:pt>
                <c:pt idx="3">
                  <c:v>Udemy</c:v>
                </c:pt>
              </c:strCache>
            </c:strRef>
          </c:cat>
          <c:val>
            <c:numRef>
              <c:f>Sheet2!$B$4:$B$7</c:f>
              <c:numCache>
                <c:formatCode>0.00</c:formatCode>
                <c:ptCount val="4"/>
                <c:pt idx="0">
                  <c:v>74.963236009732157</c:v>
                </c:pt>
                <c:pt idx="1">
                  <c:v>75.336369503832131</c:v>
                </c:pt>
                <c:pt idx="2">
                  <c:v>75.080539784086326</c:v>
                </c:pt>
                <c:pt idx="3">
                  <c:v>75.098860610806611</c:v>
                </c:pt>
              </c:numCache>
            </c:numRef>
          </c:val>
          <c:smooth val="0"/>
          <c:extLst>
            <c:ext xmlns:c16="http://schemas.microsoft.com/office/drawing/2014/chart" uri="{C3380CC4-5D6E-409C-BE32-E72D297353CC}">
              <c16:uniqueId val="{00000001-1FB2-46EC-8D88-A2D699FFAF4C}"/>
            </c:ext>
          </c:extLst>
        </c:ser>
        <c:ser>
          <c:idx val="1"/>
          <c:order val="1"/>
          <c:tx>
            <c:strRef>
              <c:f>Sheet2!$C$3</c:f>
              <c:strCache>
                <c:ptCount val="1"/>
                <c:pt idx="0">
                  <c:v>Average of Rating (out of 5)</c:v>
                </c:pt>
              </c:strCache>
            </c:strRef>
          </c:tx>
          <c:spPr>
            <a:ln w="28575" cap="rnd">
              <a:solidFill>
                <a:schemeClr val="accent2"/>
              </a:solidFill>
              <a:round/>
            </a:ln>
            <a:effectLst/>
          </c:spPr>
          <c:marker>
            <c:symbol val="none"/>
          </c:marker>
          <c:cat>
            <c:strRef>
              <c:f>Sheet2!$A$4:$A$7</c:f>
              <c:strCache>
                <c:ptCount val="4"/>
                <c:pt idx="0">
                  <c:v>Coursera</c:v>
                </c:pt>
                <c:pt idx="1">
                  <c:v>edX</c:v>
                </c:pt>
                <c:pt idx="2">
                  <c:v>LinkedIn Learning</c:v>
                </c:pt>
                <c:pt idx="3">
                  <c:v>Udemy</c:v>
                </c:pt>
              </c:strCache>
            </c:strRef>
          </c:cat>
          <c:val>
            <c:numRef>
              <c:f>Sheet2!$C$4:$C$7</c:f>
              <c:numCache>
                <c:formatCode>0.0000</c:formatCode>
                <c:ptCount val="4"/>
                <c:pt idx="0">
                  <c:v>4.0003244120032493</c:v>
                </c:pt>
                <c:pt idx="1">
                  <c:v>4.0031867688584137</c:v>
                </c:pt>
                <c:pt idx="2">
                  <c:v>3.9726109556177507</c:v>
                </c:pt>
                <c:pt idx="3">
                  <c:v>4.0006264682850476</c:v>
                </c:pt>
              </c:numCache>
            </c:numRef>
          </c:val>
          <c:smooth val="0"/>
          <c:extLst>
            <c:ext xmlns:c16="http://schemas.microsoft.com/office/drawing/2014/chart" uri="{C3380CC4-5D6E-409C-BE32-E72D297353CC}">
              <c16:uniqueId val="{00000002-1FB2-46EC-8D88-A2D699FFAF4C}"/>
            </c:ext>
          </c:extLst>
        </c:ser>
        <c:dLbls>
          <c:showLegendKey val="0"/>
          <c:showVal val="0"/>
          <c:showCatName val="0"/>
          <c:showSerName val="0"/>
          <c:showPercent val="0"/>
          <c:showBubbleSize val="0"/>
        </c:dLbls>
        <c:marker val="1"/>
        <c:smooth val="0"/>
        <c:axId val="1025904368"/>
        <c:axId val="1025902928"/>
      </c:lineChart>
      <c:catAx>
        <c:axId val="123335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233353072"/>
        <c:crosses val="autoZero"/>
        <c:auto val="1"/>
        <c:lblAlgn val="ctr"/>
        <c:lblOffset val="100"/>
        <c:noMultiLvlLbl val="0"/>
      </c:catAx>
      <c:valAx>
        <c:axId val="1233353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latin typeface="Calibri" panose="020F0502020204030204" pitchFamily="34" charset="0"/>
                    <a:ea typeface="Calibri" panose="020F0502020204030204" pitchFamily="34" charset="0"/>
                    <a:cs typeface="Calibri" panose="020F0502020204030204" pitchFamily="34" charset="0"/>
                  </a:rPr>
                  <a:t>Total enrolled</a:t>
                </a:r>
                <a:r>
                  <a:rPr lang="en-US"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 students</a:t>
                </a:r>
              </a:p>
              <a:p>
                <a:pPr>
                  <a:defRPr>
                    <a:solidFill>
                      <a:sysClr val="windowText" lastClr="000000"/>
                    </a:solidFill>
                  </a:defRPr>
                </a:pP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233352592"/>
        <c:crosses val="autoZero"/>
        <c:crossBetween val="between"/>
      </c:valAx>
      <c:valAx>
        <c:axId val="1025902928"/>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NZ">
                    <a:solidFill>
                      <a:sysClr val="windowText" lastClr="000000"/>
                    </a:solidFill>
                    <a:latin typeface="Calibri" panose="020F0502020204030204" pitchFamily="34" charset="0"/>
                    <a:ea typeface="Calibri" panose="020F0502020204030204" pitchFamily="34" charset="0"/>
                    <a:cs typeface="Calibri" panose="020F0502020204030204" pitchFamily="34" charset="0"/>
                  </a:rPr>
                  <a:t>Completion rate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025904368"/>
        <c:crosses val="max"/>
        <c:crossBetween val="between"/>
      </c:valAx>
      <c:catAx>
        <c:axId val="1025904368"/>
        <c:scaling>
          <c:orientation val="minMax"/>
        </c:scaling>
        <c:delete val="1"/>
        <c:axPos val="b"/>
        <c:numFmt formatCode="General" sourceLinked="1"/>
        <c:majorTickMark val="out"/>
        <c:minorTickMark val="none"/>
        <c:tickLblPos val="nextTo"/>
        <c:crossAx val="10259029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NZ" sz="12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Course enrolment and average rating by price range</a:t>
            </a:r>
            <a:endParaRPr lang="en-NZ" sz="120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NZ"/>
        </a:p>
      </c:txPr>
    </c:title>
    <c:autoTitleDeleted val="0"/>
    <c:plotArea>
      <c:layout/>
      <c:barChart>
        <c:barDir val="col"/>
        <c:grouping val="clustered"/>
        <c:varyColors val="0"/>
        <c:ser>
          <c:idx val="0"/>
          <c:order val="0"/>
          <c:tx>
            <c:strRef>
              <c:f>Sheet3!$B$7</c:f>
              <c:strCache>
                <c:ptCount val="1"/>
                <c:pt idx="0">
                  <c:v>Total Enrolled Students</c:v>
                </c:pt>
              </c:strCache>
            </c:strRef>
          </c:tx>
          <c:spPr>
            <a:solidFill>
              <a:schemeClr val="accent1"/>
            </a:solidFill>
            <a:ln>
              <a:noFill/>
            </a:ln>
            <a:effectLst/>
          </c:spPr>
          <c:invertIfNegative val="0"/>
          <c:dLbls>
            <c:dLbl>
              <c:idx val="0"/>
              <c:layout>
                <c:manualLayout>
                  <c:x val="-3.2156312649961157E-17"/>
                  <c:y val="7.5668623613829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95-4C6C-ADE9-226F5ED793DE}"/>
                </c:ext>
              </c:extLst>
            </c:dLbl>
            <c:dLbl>
              <c:idx val="1"/>
              <c:layout>
                <c:manualLayout>
                  <c:x val="0"/>
                  <c:y val="8.8714938030006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95-4C6C-ADE9-226F5ED793DE}"/>
                </c:ext>
              </c:extLst>
            </c:dLbl>
            <c:dLbl>
              <c:idx val="2"/>
              <c:layout>
                <c:manualLayout>
                  <c:x val="0"/>
                  <c:y val="7.5668623613829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95-4C6C-ADE9-226F5ED793DE}"/>
                </c:ext>
              </c:extLst>
            </c:dLbl>
            <c:dLbl>
              <c:idx val="3"/>
              <c:layout>
                <c:manualLayout>
                  <c:x val="1.7540009521324854E-3"/>
                  <c:y val="7.5668623613829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95-4C6C-ADE9-226F5ED793DE}"/>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Sheet3!$A$8:$A$11</c:f>
              <c:strCache>
                <c:ptCount val="4"/>
                <c:pt idx="0">
                  <c:v>$0–50</c:v>
                </c:pt>
                <c:pt idx="1">
                  <c:v>$51–100</c:v>
                </c:pt>
                <c:pt idx="2">
                  <c:v>$101–150</c:v>
                </c:pt>
                <c:pt idx="3">
                  <c:v>$151–200</c:v>
                </c:pt>
              </c:strCache>
            </c:strRef>
          </c:cat>
          <c:val>
            <c:numRef>
              <c:f>Sheet3!$B$8:$B$11</c:f>
              <c:numCache>
                <c:formatCode>General</c:formatCode>
                <c:ptCount val="4"/>
                <c:pt idx="0">
                  <c:v>5205517</c:v>
                </c:pt>
                <c:pt idx="1">
                  <c:v>6505750</c:v>
                </c:pt>
                <c:pt idx="2">
                  <c:v>6719464</c:v>
                </c:pt>
                <c:pt idx="3">
                  <c:v>6875799</c:v>
                </c:pt>
              </c:numCache>
            </c:numRef>
          </c:val>
          <c:extLst>
            <c:ext xmlns:c16="http://schemas.microsoft.com/office/drawing/2014/chart" uri="{C3380CC4-5D6E-409C-BE32-E72D297353CC}">
              <c16:uniqueId val="{00000004-B895-4C6C-ADE9-226F5ED793DE}"/>
            </c:ext>
          </c:extLst>
        </c:ser>
        <c:dLbls>
          <c:showLegendKey val="0"/>
          <c:showVal val="0"/>
          <c:showCatName val="0"/>
          <c:showSerName val="0"/>
          <c:showPercent val="0"/>
          <c:showBubbleSize val="0"/>
        </c:dLbls>
        <c:gapWidth val="219"/>
        <c:overlap val="-27"/>
        <c:axId val="1862104240"/>
        <c:axId val="1862106160"/>
      </c:barChart>
      <c:lineChart>
        <c:grouping val="standard"/>
        <c:varyColors val="0"/>
        <c:ser>
          <c:idx val="1"/>
          <c:order val="1"/>
          <c:tx>
            <c:strRef>
              <c:f>Sheet3!$C$7</c:f>
              <c:strCache>
                <c:ptCount val="1"/>
                <c:pt idx="0">
                  <c:v>Average Rating</c:v>
                </c:pt>
              </c:strCache>
            </c:strRef>
          </c:tx>
          <c:spPr>
            <a:ln w="28575" cap="rnd">
              <a:solidFill>
                <a:schemeClr val="accent2"/>
              </a:solidFill>
              <a:round/>
            </a:ln>
            <a:effectLst/>
          </c:spPr>
          <c:marker>
            <c:symbol val="none"/>
          </c:marker>
          <c:cat>
            <c:strRef>
              <c:f>Sheet3!$A$8:$A$11</c:f>
              <c:strCache>
                <c:ptCount val="4"/>
                <c:pt idx="0">
                  <c:v>$0–50</c:v>
                </c:pt>
                <c:pt idx="1">
                  <c:v>$51–100</c:v>
                </c:pt>
                <c:pt idx="2">
                  <c:v>$101–150</c:v>
                </c:pt>
                <c:pt idx="3">
                  <c:v>$151–200</c:v>
                </c:pt>
              </c:strCache>
            </c:strRef>
          </c:cat>
          <c:val>
            <c:numRef>
              <c:f>Sheet3!$C$8:$C$11</c:f>
              <c:numCache>
                <c:formatCode>General</c:formatCode>
                <c:ptCount val="4"/>
                <c:pt idx="0">
                  <c:v>3.9866999999999999</c:v>
                </c:pt>
                <c:pt idx="1">
                  <c:v>4.0095000000000001</c:v>
                </c:pt>
                <c:pt idx="2">
                  <c:v>3.9863</c:v>
                </c:pt>
                <c:pt idx="3">
                  <c:v>3.9929000000000001</c:v>
                </c:pt>
              </c:numCache>
            </c:numRef>
          </c:val>
          <c:smooth val="0"/>
          <c:extLst>
            <c:ext xmlns:c16="http://schemas.microsoft.com/office/drawing/2014/chart" uri="{C3380CC4-5D6E-409C-BE32-E72D297353CC}">
              <c16:uniqueId val="{00000005-B895-4C6C-ADE9-226F5ED793DE}"/>
            </c:ext>
          </c:extLst>
        </c:ser>
        <c:dLbls>
          <c:showLegendKey val="0"/>
          <c:showVal val="0"/>
          <c:showCatName val="0"/>
          <c:showSerName val="0"/>
          <c:showPercent val="0"/>
          <c:showBubbleSize val="0"/>
        </c:dLbls>
        <c:marker val="1"/>
        <c:smooth val="0"/>
        <c:axId val="2112452304"/>
        <c:axId val="1862103760"/>
      </c:lineChart>
      <c:catAx>
        <c:axId val="1862104240"/>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862106160"/>
        <c:crosses val="autoZero"/>
        <c:auto val="1"/>
        <c:lblAlgn val="ctr"/>
        <c:lblOffset val="100"/>
        <c:noMultiLvlLbl val="0"/>
      </c:catAx>
      <c:valAx>
        <c:axId val="1862106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NZ">
                    <a:solidFill>
                      <a:sysClr val="windowText" lastClr="000000"/>
                    </a:solidFill>
                    <a:latin typeface="Calibri" panose="020F0502020204030204" pitchFamily="34" charset="0"/>
                    <a:ea typeface="Calibri" panose="020F0502020204030204" pitchFamily="34" charset="0"/>
                    <a:cs typeface="Calibri" panose="020F0502020204030204" pitchFamily="34" charset="0"/>
                  </a:rPr>
                  <a:t>Total enrolled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862104240"/>
        <c:crosses val="autoZero"/>
        <c:crossBetween val="between"/>
      </c:valAx>
      <c:valAx>
        <c:axId val="186210376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NZ">
                    <a:solidFill>
                      <a:sysClr val="windowText" lastClr="000000"/>
                    </a:solidFill>
                    <a:latin typeface="Calibri" panose="020F0502020204030204" pitchFamily="34" charset="0"/>
                    <a:ea typeface="Calibri" panose="020F0502020204030204" pitchFamily="34" charset="0"/>
                    <a:cs typeface="Calibri" panose="020F0502020204030204" pitchFamily="34" charset="0"/>
                  </a:rPr>
                  <a:t>Avarage rating</a:t>
                </a:r>
              </a:p>
              <a:p>
                <a:pPr>
                  <a:defRPr>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NZ">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rich>
          </c:tx>
          <c:layout>
            <c:manualLayout>
              <c:xMode val="edge"/>
              <c:yMode val="edge"/>
              <c:x val="0.94139882818925369"/>
              <c:y val="0.374998741595656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2112452304"/>
        <c:crosses val="max"/>
        <c:crossBetween val="between"/>
      </c:valAx>
      <c:catAx>
        <c:axId val="2112452304"/>
        <c:scaling>
          <c:orientation val="minMax"/>
        </c:scaling>
        <c:delete val="1"/>
        <c:axPos val="b"/>
        <c:numFmt formatCode="General" sourceLinked="1"/>
        <c:majorTickMark val="out"/>
        <c:minorTickMark val="none"/>
        <c:tickLblPos val="nextTo"/>
        <c:crossAx val="1862103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[ANOVA .xlsx]Sheet9!PivotTable25</c:name>
    <c:fmtId val="-1"/>
  </c:pivotSource>
  <c:chart>
    <c:title>
      <c:tx>
        <c:rich>
          <a:bodyPr rot="0" spcFirstLastPara="1" vertOverflow="ellipsis" vert="horz" wrap="square" anchor="ctr" anchorCtr="1"/>
          <a:lstStyle/>
          <a:p>
            <a:pPr>
              <a:defRPr sz="13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NZ" sz="13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Course category performance: Enrolment and average rating</a:t>
            </a:r>
            <a:endParaRPr lang="en-NZ" sz="130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300" b="0" i="0" u="none" strike="noStrike" kern="1200" spc="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N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Sheet9!$B$3</c:f>
              <c:strCache>
                <c:ptCount val="1"/>
                <c:pt idx="0">
                  <c:v>Sum of Enrolled_Students</c:v>
                </c:pt>
              </c:strCache>
            </c:strRef>
          </c:tx>
          <c:spPr>
            <a:solidFill>
              <a:schemeClr val="accent1"/>
            </a:solidFill>
            <a:ln>
              <a:noFill/>
            </a:ln>
            <a:effectLst/>
          </c:spPr>
          <c:invertIfNegative val="0"/>
          <c:cat>
            <c:strRef>
              <c:f>Sheet9!$A$4:$A$13</c:f>
              <c:strCache>
                <c:ptCount val="9"/>
                <c:pt idx="0">
                  <c:v>Marketing</c:v>
                </c:pt>
                <c:pt idx="1">
                  <c:v>Finance</c:v>
                </c:pt>
                <c:pt idx="2">
                  <c:v>Office Tools</c:v>
                </c:pt>
                <c:pt idx="3">
                  <c:v>Business</c:v>
                </c:pt>
                <c:pt idx="4">
                  <c:v>AI</c:v>
                </c:pt>
                <c:pt idx="5">
                  <c:v>Design</c:v>
                </c:pt>
                <c:pt idx="6">
                  <c:v>Data Science</c:v>
                </c:pt>
                <c:pt idx="7">
                  <c:v>Technology</c:v>
                </c:pt>
                <c:pt idx="8">
                  <c:v>Programming</c:v>
                </c:pt>
              </c:strCache>
            </c:strRef>
          </c:cat>
          <c:val>
            <c:numRef>
              <c:f>Sheet9!$B$4:$B$13</c:f>
              <c:numCache>
                <c:formatCode>General</c:formatCode>
                <c:ptCount val="9"/>
                <c:pt idx="0">
                  <c:v>2949738</c:v>
                </c:pt>
                <c:pt idx="1">
                  <c:v>2892437</c:v>
                </c:pt>
                <c:pt idx="2">
                  <c:v>2882713</c:v>
                </c:pt>
                <c:pt idx="3">
                  <c:v>2848578</c:v>
                </c:pt>
                <c:pt idx="4">
                  <c:v>2809869</c:v>
                </c:pt>
                <c:pt idx="5">
                  <c:v>2783497</c:v>
                </c:pt>
                <c:pt idx="6">
                  <c:v>2734806</c:v>
                </c:pt>
                <c:pt idx="7">
                  <c:v>2728293</c:v>
                </c:pt>
                <c:pt idx="8">
                  <c:v>2676599</c:v>
                </c:pt>
              </c:numCache>
            </c:numRef>
          </c:val>
          <c:extLst>
            <c:ext xmlns:c16="http://schemas.microsoft.com/office/drawing/2014/chart" uri="{C3380CC4-5D6E-409C-BE32-E72D297353CC}">
              <c16:uniqueId val="{00000000-251C-4385-B378-EF774FB1C3BF}"/>
            </c:ext>
          </c:extLst>
        </c:ser>
        <c:dLbls>
          <c:showLegendKey val="0"/>
          <c:showVal val="0"/>
          <c:showCatName val="0"/>
          <c:showSerName val="0"/>
          <c:showPercent val="0"/>
          <c:showBubbleSize val="0"/>
        </c:dLbls>
        <c:gapWidth val="219"/>
        <c:overlap val="-27"/>
        <c:axId val="1240950511"/>
        <c:axId val="1240949071"/>
      </c:barChart>
      <c:lineChart>
        <c:grouping val="standard"/>
        <c:varyColors val="0"/>
        <c:ser>
          <c:idx val="1"/>
          <c:order val="1"/>
          <c:tx>
            <c:strRef>
              <c:f>Sheet9!$C$3</c:f>
              <c:strCache>
                <c:ptCount val="1"/>
                <c:pt idx="0">
                  <c:v>Average of Rating (out of 5)</c:v>
                </c:pt>
              </c:strCache>
            </c:strRef>
          </c:tx>
          <c:spPr>
            <a:ln w="28575" cap="rnd">
              <a:solidFill>
                <a:schemeClr val="accent2"/>
              </a:solidFill>
              <a:round/>
            </a:ln>
            <a:effectLst/>
          </c:spPr>
          <c:marker>
            <c:symbol val="none"/>
          </c:marker>
          <c:cat>
            <c:strRef>
              <c:f>Sheet9!$A$4:$A$13</c:f>
              <c:strCache>
                <c:ptCount val="9"/>
                <c:pt idx="0">
                  <c:v>Marketing</c:v>
                </c:pt>
                <c:pt idx="1">
                  <c:v>Finance</c:v>
                </c:pt>
                <c:pt idx="2">
                  <c:v>Office Tools</c:v>
                </c:pt>
                <c:pt idx="3">
                  <c:v>Business</c:v>
                </c:pt>
                <c:pt idx="4">
                  <c:v>AI</c:v>
                </c:pt>
                <c:pt idx="5">
                  <c:v>Design</c:v>
                </c:pt>
                <c:pt idx="6">
                  <c:v>Data Science</c:v>
                </c:pt>
                <c:pt idx="7">
                  <c:v>Technology</c:v>
                </c:pt>
                <c:pt idx="8">
                  <c:v>Programming</c:v>
                </c:pt>
              </c:strCache>
            </c:strRef>
          </c:cat>
          <c:val>
            <c:numRef>
              <c:f>Sheet9!$C$4:$C$13</c:f>
              <c:numCache>
                <c:formatCode>0.000</c:formatCode>
                <c:ptCount val="9"/>
                <c:pt idx="0">
                  <c:v>4.0140319715808221</c:v>
                </c:pt>
                <c:pt idx="1">
                  <c:v>3.9900355871886122</c:v>
                </c:pt>
                <c:pt idx="2">
                  <c:v>4.0038630377524225</c:v>
                </c:pt>
                <c:pt idx="3">
                  <c:v>3.9936411149825815</c:v>
                </c:pt>
                <c:pt idx="4">
                  <c:v>3.9826086956521749</c:v>
                </c:pt>
                <c:pt idx="5">
                  <c:v>3.998561151079139</c:v>
                </c:pt>
                <c:pt idx="6">
                  <c:v>4.0146630236794181</c:v>
                </c:pt>
                <c:pt idx="7">
                  <c:v>3.9572227399813587</c:v>
                </c:pt>
                <c:pt idx="8">
                  <c:v>3.9913568773234207</c:v>
                </c:pt>
              </c:numCache>
            </c:numRef>
          </c:val>
          <c:smooth val="0"/>
          <c:extLst>
            <c:ext xmlns:c16="http://schemas.microsoft.com/office/drawing/2014/chart" uri="{C3380CC4-5D6E-409C-BE32-E72D297353CC}">
              <c16:uniqueId val="{00000001-251C-4385-B378-EF774FB1C3BF}"/>
            </c:ext>
          </c:extLst>
        </c:ser>
        <c:dLbls>
          <c:showLegendKey val="0"/>
          <c:showVal val="0"/>
          <c:showCatName val="0"/>
          <c:showSerName val="0"/>
          <c:showPercent val="0"/>
          <c:showBubbleSize val="0"/>
        </c:dLbls>
        <c:marker val="1"/>
        <c:smooth val="0"/>
        <c:axId val="675135648"/>
        <c:axId val="675134688"/>
      </c:lineChart>
      <c:catAx>
        <c:axId val="1240950511"/>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240949071"/>
        <c:crosses val="autoZero"/>
        <c:auto val="1"/>
        <c:lblAlgn val="ctr"/>
        <c:lblOffset val="100"/>
        <c:noMultiLvlLbl val="0"/>
      </c:catAx>
      <c:valAx>
        <c:axId val="1240949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240950511"/>
        <c:crosses val="autoZero"/>
        <c:crossBetween val="between"/>
      </c:valAx>
      <c:valAx>
        <c:axId val="675134688"/>
        <c:scaling>
          <c:orientation val="minMax"/>
        </c:scaling>
        <c:delete val="0"/>
        <c:axPos val="r"/>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75135648"/>
        <c:crosses val="max"/>
        <c:crossBetween val="between"/>
      </c:valAx>
      <c:catAx>
        <c:axId val="675135648"/>
        <c:scaling>
          <c:orientation val="minMax"/>
        </c:scaling>
        <c:delete val="1"/>
        <c:axPos val="b"/>
        <c:numFmt formatCode="General" sourceLinked="1"/>
        <c:majorTickMark val="out"/>
        <c:minorTickMark val="none"/>
        <c:tickLblPos val="nextTo"/>
        <c:crossAx val="6751346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online_courses_uses!$F$2:$F$10001</cx:f>
        <cx:lvl ptCount="2554" formatCode="General">
          <cx:pt idx="0">62.600000000000001</cx:pt>
          <cx:pt idx="1">58.229999999999997</cx:pt>
          <cx:pt idx="2">92.439999999999998</cx:pt>
          <cx:pt idx="3">51.289999999999999</cx:pt>
          <cx:pt idx="4">62.600000000000001</cx:pt>
          <cx:pt idx="5">64.700000000000003</cx:pt>
          <cx:pt idx="6">80.510000000000005</cx:pt>
          <cx:pt idx="7">66.400000000000006</cx:pt>
          <cx:pt idx="8">55.630000000000003</cx:pt>
          <cx:pt idx="9">78.840000000000003</cx:pt>
          <cx:pt idx="10">53</cx:pt>
          <cx:pt idx="11">50.5</cx:pt>
          <cx:pt idx="12">69.939999999999998</cx:pt>
          <cx:pt idx="13">52.07</cx:pt>
          <cx:pt idx="14">90.290000000000006</cx:pt>
          <cx:pt idx="15">78.109999999999999</cx:pt>
          <cx:pt idx="16">69.909999999999997</cx:pt>
          <cx:pt idx="17">62.090000000000003</cx:pt>
          <cx:pt idx="18">64.310000000000002</cx:pt>
          <cx:pt idx="19">56.780000000000001</cx:pt>
          <cx:pt idx="20">55.82</cx:pt>
          <cx:pt idx="21">67.5</cx:pt>
          <cx:pt idx="22">74.620000000000005</cx:pt>
          <cx:pt idx="23">91.25</cx:pt>
          <cx:pt idx="24">73.739999999999995</cx:pt>
          <cx:pt idx="25">95.180000000000007</cx:pt>
          <cx:pt idx="26">56.170000000000002</cx:pt>
          <cx:pt idx="27">55.700000000000003</cx:pt>
          <cx:pt idx="28">75.400000000000006</cx:pt>
          <cx:pt idx="29">56.619999999999997</cx:pt>
          <cx:pt idx="30">82.230000000000004</cx:pt>
          <cx:pt idx="31">64.599999999999994</cx:pt>
          <cx:pt idx="32">73.879999999999995</cx:pt>
          <cx:pt idx="33">77.590000000000003</cx:pt>
          <cx:pt idx="34">77.480000000000004</cx:pt>
          <cx:pt idx="35">65.739999999999995</cx:pt>
          <cx:pt idx="36">67.560000000000002</cx:pt>
          <cx:pt idx="37">97.280000000000001</cx:pt>
          <cx:pt idx="38">71.090000000000003</cx:pt>
          <cx:pt idx="39">85.950000000000003</cx:pt>
          <cx:pt idx="40">95.349999999999994</cx:pt>
          <cx:pt idx="41">63.899999999999999</cx:pt>
          <cx:pt idx="42">88.079999999999998</cx:pt>
          <cx:pt idx="43">77.599999999999994</cx:pt>
          <cx:pt idx="44">68.920000000000002</cx:pt>
          <cx:pt idx="45">84.900000000000006</cx:pt>
          <cx:pt idx="46">88.599999999999994</cx:pt>
          <cx:pt idx="47">63.090000000000003</cx:pt>
          <cx:pt idx="48">85.640000000000001</cx:pt>
          <cx:pt idx="49">91.549999999999997</cx:pt>
          <cx:pt idx="50">66.579999999999998</cx:pt>
          <cx:pt idx="51">92.620000000000005</cx:pt>
          <cx:pt idx="52">64.260000000000005</cx:pt>
          <cx:pt idx="53">79.189999999999998</cx:pt>
          <cx:pt idx="54">91.879999999999995</cx:pt>
          <cx:pt idx="55">97.629999999999995</cx:pt>
          <cx:pt idx="56">65.650000000000006</cx:pt>
          <cx:pt idx="57">96.620000000000005</cx:pt>
          <cx:pt idx="58">93</cx:pt>
          <cx:pt idx="59">87.769999999999996</cx:pt>
          <cx:pt idx="60">81.439999999999998</cx:pt>
          <cx:pt idx="61">92.530000000000001</cx:pt>
          <cx:pt idx="62">73.269999999999996</cx:pt>
          <cx:pt idx="63">90.189999999999998</cx:pt>
          <cx:pt idx="64">60.649999999999999</cx:pt>
          <cx:pt idx="65">95.829999999999998</cx:pt>
          <cx:pt idx="66">92.519999999999996</cx:pt>
          <cx:pt idx="67">55.090000000000003</cx:pt>
          <cx:pt idx="68">74.780000000000001</cx:pt>
          <cx:pt idx="69">50.18</cx:pt>
          <cx:pt idx="70">70.090000000000003</cx:pt>
          <cx:pt idx="71">69.099999999999994</cx:pt>
          <cx:pt idx="72">73.689999999999998</cx:pt>
          <cx:pt idx="73">62.640000000000001</cx:pt>
          <cx:pt idx="74">58.359999999999999</cx:pt>
          <cx:pt idx="75">66.030000000000001</cx:pt>
          <cx:pt idx="76">77.510000000000005</cx:pt>
          <cx:pt idx="77">61.409999999999997</cx:pt>
          <cx:pt idx="78">61.990000000000002</cx:pt>
          <cx:pt idx="79">73.579999999999998</cx:pt>
          <cx:pt idx="80">53.810000000000002</cx:pt>
          <cx:pt idx="81">62.359999999999999</cx:pt>
          <cx:pt idx="82">84.310000000000002</cx:pt>
          <cx:pt idx="83">77.299999999999997</cx:pt>
          <cx:pt idx="84">57.329999999999998</cx:pt>
          <cx:pt idx="85">52.350000000000001</cx:pt>
          <cx:pt idx="86">60.479999999999997</cx:pt>
          <cx:pt idx="87">94.519999999999996</cx:pt>
          <cx:pt idx="88">67.200000000000003</cx:pt>
          <cx:pt idx="89">54.450000000000003</cx:pt>
          <cx:pt idx="90">89.069999999999993</cx:pt>
          <cx:pt idx="91">75.959999999999994</cx:pt>
          <cx:pt idx="92">58.619999999999997</cx:pt>
          <cx:pt idx="93">78.969999999999999</cx:pt>
          <cx:pt idx="94">99.989999999999995</cx:pt>
          <cx:pt idx="95">76.590000000000003</cx:pt>
          <cx:pt idx="96">87.060000000000002</cx:pt>
          <cx:pt idx="97">88.359999999999999</cx:pt>
          <cx:pt idx="98">68.310000000000002</cx:pt>
          <cx:pt idx="99">83.299999999999997</cx:pt>
          <cx:pt idx="100">51.200000000000003</cx:pt>
          <cx:pt idx="101">87.439999999999998</cx:pt>
          <cx:pt idx="102">82.310000000000002</cx:pt>
          <cx:pt idx="103">79.060000000000002</cx:pt>
          <cx:pt idx="104">53.280000000000001</cx:pt>
          <cx:pt idx="105">90.189999999999998</cx:pt>
          <cx:pt idx="106">88.840000000000003</cx:pt>
          <cx:pt idx="107">80.180000000000007</cx:pt>
          <cx:pt idx="108">55.229999999999997</cx:pt>
          <cx:pt idx="109">53.729999999999997</cx:pt>
          <cx:pt idx="110">89.219999999999999</cx:pt>
          <cx:pt idx="111">96.430000000000007</cx:pt>
          <cx:pt idx="112">54.420000000000002</cx:pt>
          <cx:pt idx="113">62.090000000000003</cx:pt>
          <cx:pt idx="114">69.709999999999994</cx:pt>
          <cx:pt idx="115">86.680000000000007</cx:pt>
          <cx:pt idx="116">53.32</cx:pt>
          <cx:pt idx="117">63.560000000000002</cx:pt>
          <cx:pt idx="118">85.569999999999993</cx:pt>
          <cx:pt idx="119">75.920000000000002</cx:pt>
          <cx:pt idx="120">79.549999999999997</cx:pt>
          <cx:pt idx="121">70.930000000000007</cx:pt>
          <cx:pt idx="122">78.969999999999999</cx:pt>
          <cx:pt idx="123">89.670000000000002</cx:pt>
          <cx:pt idx="124">95.269999999999996</cx:pt>
          <cx:pt idx="125">61.719999999999999</cx:pt>
          <cx:pt idx="126">73.129999999999995</cx:pt>
          <cx:pt idx="127">51.899999999999999</cx:pt>
          <cx:pt idx="128">57.869999999999997</cx:pt>
          <cx:pt idx="129">80.939999999999998</cx:pt>
          <cx:pt idx="130">64.709999999999994</cx:pt>
          <cx:pt idx="131">96.010000000000005</cx:pt>
          <cx:pt idx="132">94.040000000000006</cx:pt>
          <cx:pt idx="133">97.219999999999999</cx:pt>
          <cx:pt idx="134">88.269999999999996</cx:pt>
          <cx:pt idx="135">91.489999999999995</cx:pt>
          <cx:pt idx="136">60.07</cx:pt>
          <cx:pt idx="137">70.310000000000002</cx:pt>
          <cx:pt idx="138">98.459999999999994</cx:pt>
          <cx:pt idx="139">55.350000000000001</cx:pt>
          <cx:pt idx="140">77.900000000000006</cx:pt>
          <cx:pt idx="141">70.469999999999999</cx:pt>
          <cx:pt idx="142">62.119999999999997</cx:pt>
          <cx:pt idx="143">87.599999999999994</cx:pt>
          <cx:pt idx="144">68.609999999999999</cx:pt>
          <cx:pt idx="145">60.899999999999999</cx:pt>
          <cx:pt idx="146">54.060000000000002</cx:pt>
          <cx:pt idx="147">79.480000000000004</cx:pt>
          <cx:pt idx="148">59.859999999999999</cx:pt>
          <cx:pt idx="149">56.369999999999997</cx:pt>
          <cx:pt idx="150">69.980000000000004</cx:pt>
          <cx:pt idx="151">56.979999999999997</cx:pt>
          <cx:pt idx="152">80.180000000000007</cx:pt>
          <cx:pt idx="153">65.569999999999993</cx:pt>
          <cx:pt idx="154">59.780000000000001</cx:pt>
          <cx:pt idx="155">80.129999999999995</cx:pt>
          <cx:pt idx="156">81.790000000000006</cx:pt>
          <cx:pt idx="157">82.079999999999998</cx:pt>
          <cx:pt idx="158">76.040000000000006</cx:pt>
          <cx:pt idx="159">89.989999999999995</cx:pt>
          <cx:pt idx="160">84.989999999999995</cx:pt>
          <cx:pt idx="161">96.109999999999999</cx:pt>
          <cx:pt idx="162">93.819999999999993</cx:pt>
          <cx:pt idx="163">70.469999999999999</cx:pt>
          <cx:pt idx="164">93.799999999999997</cx:pt>
          <cx:pt idx="165">69.329999999999998</cx:pt>
          <cx:pt idx="166">74.790000000000006</cx:pt>
          <cx:pt idx="167">78.030000000000001</cx:pt>
          <cx:pt idx="168">54.479999999999997</cx:pt>
          <cx:pt idx="169">65.939999999999998</cx:pt>
          <cx:pt idx="170">51.039999999999999</cx:pt>
          <cx:pt idx="171">70.609999999999999</cx:pt>
          <cx:pt idx="172">57.109999999999999</cx:pt>
          <cx:pt idx="173">81.730000000000004</cx:pt>
          <cx:pt idx="174">92.370000000000005</cx:pt>
          <cx:pt idx="175">68.790000000000006</cx:pt>
          <cx:pt idx="176">76.340000000000003</cx:pt>
          <cx:pt idx="177">56.030000000000001</cx:pt>
          <cx:pt idx="178">66.159999999999997</cx:pt>
          <cx:pt idx="179">93.439999999999998</cx:pt>
          <cx:pt idx="180">59.590000000000003</cx:pt>
          <cx:pt idx="181">72.670000000000002</cx:pt>
          <cx:pt idx="182">52.299999999999997</cx:pt>
          <cx:pt idx="183">59.329999999999998</cx:pt>
          <cx:pt idx="184">85.159999999999997</cx:pt>
          <cx:pt idx="185">89.810000000000002</cx:pt>
          <cx:pt idx="186">74.329999999999998</cx:pt>
          <cx:pt idx="187">68.439999999999998</cx:pt>
          <cx:pt idx="188">52.5</cx:pt>
          <cx:pt idx="189">90.340000000000003</cx:pt>
          <cx:pt idx="190">54.479999999999997</cx:pt>
          <cx:pt idx="191">79.340000000000003</cx:pt>
          <cx:pt idx="192">78.230000000000004</cx:pt>
          <cx:pt idx="193">86.310000000000002</cx:pt>
          <cx:pt idx="194">57.049999999999997</cx:pt>
          <cx:pt idx="195">82.650000000000006</cx:pt>
          <cx:pt idx="196">99.420000000000002</cx:pt>
          <cx:pt idx="197">62.340000000000003</cx:pt>
          <cx:pt idx="198">93.629999999999995</cx:pt>
          <cx:pt idx="199">94.510000000000005</cx:pt>
          <cx:pt idx="200">77.159999999999997</cx:pt>
          <cx:pt idx="201">89.790000000000006</cx:pt>
          <cx:pt idx="202">77.109999999999999</cx:pt>
          <cx:pt idx="203">92.030000000000001</cx:pt>
          <cx:pt idx="204">77.420000000000002</cx:pt>
          <cx:pt idx="205">69.230000000000004</cx:pt>
          <cx:pt idx="206">61.469999999999999</cx:pt>
          <cx:pt idx="207">58.619999999999997</cx:pt>
          <cx:pt idx="208">87.760000000000005</cx:pt>
          <cx:pt idx="209">66.950000000000003</cx:pt>
          <cx:pt idx="210">95.900000000000006</cx:pt>
          <cx:pt idx="211">51.460000000000001</cx:pt>
          <cx:pt idx="212">68.340000000000003</cx:pt>
          <cx:pt idx="213">67.069999999999993</cx:pt>
          <cx:pt idx="214">83.120000000000005</cx:pt>
          <cx:pt idx="215">79.079999999999998</cx:pt>
          <cx:pt idx="216">80.040000000000006</cx:pt>
          <cx:pt idx="217">52.100000000000001</cx:pt>
          <cx:pt idx="218">53.329999999999998</cx:pt>
          <cx:pt idx="219">77.859999999999999</cx:pt>
          <cx:pt idx="220">50.990000000000002</cx:pt>
          <cx:pt idx="221">96.140000000000001</cx:pt>
          <cx:pt idx="222">51.789999999999999</cx:pt>
          <cx:pt idx="223">70.769999999999996</cx:pt>
          <cx:pt idx="224">99.25</cx:pt>
          <cx:pt idx="225">85.730000000000004</cx:pt>
          <cx:pt idx="226">54.280000000000001</cx:pt>
          <cx:pt idx="227">82.049999999999997</cx:pt>
          <cx:pt idx="228">53.990000000000002</cx:pt>
          <cx:pt idx="229">69.700000000000003</cx:pt>
          <cx:pt idx="230">75.040000000000006</cx:pt>
          <cx:pt idx="231">80.569999999999993</cx:pt>
          <cx:pt idx="232">76.510000000000005</cx:pt>
          <cx:pt idx="233">98.030000000000001</cx:pt>
          <cx:pt idx="234">93.390000000000001</cx:pt>
          <cx:pt idx="235">50.659999999999997</cx:pt>
          <cx:pt idx="236">74.560000000000002</cx:pt>
          <cx:pt idx="237">76.689999999999998</cx:pt>
          <cx:pt idx="238">85.170000000000002</cx:pt>
          <cx:pt idx="239">92.150000000000006</cx:pt>
          <cx:pt idx="240">99.439999999999998</cx:pt>
          <cx:pt idx="241">75.409999999999997</cx:pt>
          <cx:pt idx="242">61.409999999999997</cx:pt>
          <cx:pt idx="243">70.609999999999999</cx:pt>
          <cx:pt idx="244">69.480000000000004</cx:pt>
          <cx:pt idx="245">70.379999999999995</cx:pt>
          <cx:pt idx="246">64.609999999999999</cx:pt>
          <cx:pt idx="247">88.269999999999996</cx:pt>
          <cx:pt idx="248">52.609999999999999</cx:pt>
          <cx:pt idx="249">89.030000000000001</cx:pt>
          <cx:pt idx="250">88.810000000000002</cx:pt>
          <cx:pt idx="251">80.180000000000007</cx:pt>
          <cx:pt idx="252">80.349999999999994</cx:pt>
          <cx:pt idx="253">96.060000000000002</cx:pt>
          <cx:pt idx="254">62.289999999999999</cx:pt>
          <cx:pt idx="255">64.859999999999999</cx:pt>
          <cx:pt idx="256">77.890000000000001</cx:pt>
          <cx:pt idx="257">77.200000000000003</cx:pt>
          <cx:pt idx="258">91.109999999999999</cx:pt>
          <cx:pt idx="259">80.810000000000002</cx:pt>
          <cx:pt idx="260">85.159999999999997</cx:pt>
          <cx:pt idx="261">60.780000000000001</cx:pt>
          <cx:pt idx="262">61.350000000000001</cx:pt>
          <cx:pt idx="263">53.159999999999997</cx:pt>
          <cx:pt idx="264">95.530000000000001</cx:pt>
          <cx:pt idx="265">84.069999999999993</cx:pt>
          <cx:pt idx="266">94.090000000000003</cx:pt>
          <cx:pt idx="267">59.579999999999998</cx:pt>
          <cx:pt idx="268">86.379999999999995</cx:pt>
          <cx:pt idx="269">52.93</cx:pt>
          <cx:pt idx="270">99.299999999999997</cx:pt>
          <cx:pt idx="271">85.170000000000002</cx:pt>
          <cx:pt idx="272">60.590000000000003</cx:pt>
          <cx:pt idx="273">51.560000000000002</cx:pt>
          <cx:pt idx="274">92.099999999999994</cx:pt>
          <cx:pt idx="275">83.060000000000002</cx:pt>
          <cx:pt idx="276">55.68</cx:pt>
          <cx:pt idx="277">50.030000000000001</cx:pt>
          <cx:pt idx="278">73.459999999999994</cx:pt>
          <cx:pt idx="279">55.299999999999997</cx:pt>
          <cx:pt idx="280">66.530000000000001</cx:pt>
          <cx:pt idx="281">69</cx:pt>
          <cx:pt idx="282">83.709999999999994</cx:pt>
          <cx:pt idx="283">91.480000000000004</cx:pt>
          <cx:pt idx="284">56.219999999999999</cx:pt>
          <cx:pt idx="285">67.540000000000006</cx:pt>
          <cx:pt idx="286">75.849999999999994</cx:pt>
          <cx:pt idx="287">75.390000000000001</cx:pt>
          <cx:pt idx="288">68.359999999999999</cx:pt>
          <cx:pt idx="289">73.469999999999999</cx:pt>
          <cx:pt idx="290">94.120000000000005</cx:pt>
          <cx:pt idx="291">59.039999999999999</cx:pt>
          <cx:pt idx="292">95.650000000000006</cx:pt>
          <cx:pt idx="293">91.930000000000007</cx:pt>
          <cx:pt idx="294">72.5</cx:pt>
          <cx:pt idx="295">66.319999999999993</cx:pt>
          <cx:pt idx="296">75.560000000000002</cx:pt>
          <cx:pt idx="297">99.700000000000003</cx:pt>
          <cx:pt idx="298">64.620000000000005</cx:pt>
          <cx:pt idx="299">99.989999999999995</cx:pt>
          <cx:pt idx="300">81.719999999999999</cx:pt>
          <cx:pt idx="301">69.530000000000001</cx:pt>
          <cx:pt idx="302">59.619999999999997</cx:pt>
          <cx:pt idx="303">77.269999999999996</cx:pt>
          <cx:pt idx="304">80.670000000000002</cx:pt>
          <cx:pt idx="305">86.040000000000006</cx:pt>
          <cx:pt idx="306">89.819999999999993</cx:pt>
          <cx:pt idx="307">50.270000000000003</cx:pt>
          <cx:pt idx="308">59.799999999999997</cx:pt>
          <cx:pt idx="309">87.230000000000004</cx:pt>
          <cx:pt idx="310">71.599999999999994</cx:pt>
          <cx:pt idx="311">90.939999999999998</cx:pt>
          <cx:pt idx="312">63.409999999999997</cx:pt>
          <cx:pt idx="313">85.109999999999999</cx:pt>
          <cx:pt idx="314">50.590000000000003</cx:pt>
          <cx:pt idx="315">96.890000000000001</cx:pt>
          <cx:pt idx="316">95.099999999999994</cx:pt>
          <cx:pt idx="317">64.510000000000005</cx:pt>
          <cx:pt idx="318">77.219999999999999</cx:pt>
          <cx:pt idx="319">55.810000000000002</cx:pt>
          <cx:pt idx="320">78.849999999999994</cx:pt>
          <cx:pt idx="321">57.409999999999997</cx:pt>
          <cx:pt idx="322">67.819999999999993</cx:pt>
          <cx:pt idx="323">52.259999999999998</cx:pt>
          <cx:pt idx="324">84.079999999999998</cx:pt>
          <cx:pt idx="325">70.010000000000005</cx:pt>
          <cx:pt idx="326">70.430000000000007</cx:pt>
          <cx:pt idx="327">68.870000000000005</cx:pt>
          <cx:pt idx="328">53.640000000000001</cx:pt>
          <cx:pt idx="329">71.430000000000007</cx:pt>
          <cx:pt idx="330">94.909999999999997</cx:pt>
          <cx:pt idx="331">84.659999999999997</cx:pt>
          <cx:pt idx="332">64.799999999999997</cx:pt>
          <cx:pt idx="333">81.819999999999993</cx:pt>
          <cx:pt idx="334">64.25</cx:pt>
          <cx:pt idx="335">83.5</cx:pt>
          <cx:pt idx="336">75.159999999999997</cx:pt>
          <cx:pt idx="337">72.040000000000006</cx:pt>
          <cx:pt idx="338">82.280000000000001</cx:pt>
          <cx:pt idx="339">56.460000000000001</cx:pt>
          <cx:pt idx="340">97.409999999999997</cx:pt>
          <cx:pt idx="341">82.670000000000002</cx:pt>
          <cx:pt idx="342">96.689999999999998</cx:pt>
          <cx:pt idx="343">67.930000000000007</cx:pt>
          <cx:pt idx="344">97.620000000000005</cx:pt>
          <cx:pt idx="345">71.390000000000001</cx:pt>
          <cx:pt idx="346">96.180000000000007</cx:pt>
          <cx:pt idx="347">81.879999999999995</cx:pt>
          <cx:pt idx="348">85.370000000000005</cx:pt>
          <cx:pt idx="349">74.920000000000002</cx:pt>
          <cx:pt idx="350">52.32</cx:pt>
          <cx:pt idx="351">69.459999999999994</cx:pt>
          <cx:pt idx="352">89.400000000000006</cx:pt>
          <cx:pt idx="353">68.319999999999993</cx:pt>
          <cx:pt idx="354">90.269999999999996</cx:pt>
          <cx:pt idx="355">91.379999999999995</cx:pt>
          <cx:pt idx="356">92.010000000000005</cx:pt>
          <cx:pt idx="357">95.819999999999993</cx:pt>
          <cx:pt idx="358">83.079999999999998</cx:pt>
          <cx:pt idx="359">81.530000000000001</cx:pt>
          <cx:pt idx="360">51.5</cx:pt>
          <cx:pt idx="361">65.370000000000005</cx:pt>
          <cx:pt idx="362">55.109999999999999</cx:pt>
          <cx:pt idx="363">79.439999999999998</cx:pt>
          <cx:pt idx="364">57.240000000000002</cx:pt>
          <cx:pt idx="365">67.290000000000006</cx:pt>
          <cx:pt idx="366">62.18</cx:pt>
          <cx:pt idx="367">52.759999999999998</cx:pt>
          <cx:pt idx="368">53.270000000000003</cx:pt>
          <cx:pt idx="369">87.540000000000006</cx:pt>
          <cx:pt idx="370">70.030000000000001</cx:pt>
          <cx:pt idx="371">91.890000000000001</cx:pt>
          <cx:pt idx="372">60.439999999999998</cx:pt>
          <cx:pt idx="373">70.980000000000004</cx:pt>
          <cx:pt idx="374">55.619999999999997</cx:pt>
          <cx:pt idx="375">97.430000000000007</cx:pt>
          <cx:pt idx="376">94.459999999999994</cx:pt>
          <cx:pt idx="377">97.180000000000007</cx:pt>
          <cx:pt idx="378">94.629999999999995</cx:pt>
          <cx:pt idx="379">92.930000000000007</cx:pt>
          <cx:pt idx="380">65.810000000000002</cx:pt>
          <cx:pt idx="381">71.420000000000002</cx:pt>
          <cx:pt idx="382">87.870000000000005</cx:pt>
          <cx:pt idx="383">78.730000000000004</cx:pt>
          <cx:pt idx="384">69.239999999999995</cx:pt>
          <cx:pt idx="385">93.049999999999997</cx:pt>
          <cx:pt idx="386">70.340000000000003</cx:pt>
          <cx:pt idx="387">62.710000000000001</cx:pt>
          <cx:pt idx="388">69.400000000000006</cx:pt>
          <cx:pt idx="389">72.790000000000006</cx:pt>
          <cx:pt idx="390">58.890000000000001</cx:pt>
          <cx:pt idx="391">63.840000000000003</cx:pt>
          <cx:pt idx="392">59.009999999999998</cx:pt>
          <cx:pt idx="393">68.590000000000003</cx:pt>
          <cx:pt idx="394">75.75</cx:pt>
          <cx:pt idx="395">52.119999999999997</cx:pt>
          <cx:pt idx="396">69.730000000000004</cx:pt>
          <cx:pt idx="397">78.420000000000002</cx:pt>
          <cx:pt idx="398">71.579999999999998</cx:pt>
          <cx:pt idx="399">99.420000000000002</cx:pt>
          <cx:pt idx="400">71.400000000000006</cx:pt>
          <cx:pt idx="401">79.379999999999995</cx:pt>
          <cx:pt idx="402">55.329999999999998</cx:pt>
          <cx:pt idx="403">96.280000000000001</cx:pt>
          <cx:pt idx="404">88.340000000000003</cx:pt>
          <cx:pt idx="405">88.650000000000006</cx:pt>
          <cx:pt idx="406">90.140000000000001</cx:pt>
          <cx:pt idx="407">55.659999999999997</cx:pt>
          <cx:pt idx="408">93.790000000000006</cx:pt>
          <cx:pt idx="409">79.579999999999998</cx:pt>
          <cx:pt idx="410">70.810000000000002</cx:pt>
          <cx:pt idx="411">79.859999999999999</cx:pt>
          <cx:pt idx="412">97.849999999999994</cx:pt>
          <cx:pt idx="413">75.859999999999999</cx:pt>
          <cx:pt idx="414">53.130000000000003</cx:pt>
          <cx:pt idx="415">90.189999999999998</cx:pt>
          <cx:pt idx="416">93.019999999999996</cx:pt>
          <cx:pt idx="417">68.530000000000001</cx:pt>
          <cx:pt idx="418">92.530000000000001</cx:pt>
          <cx:pt idx="419">86.629999999999995</cx:pt>
          <cx:pt idx="420">55.149999999999999</cx:pt>
          <cx:pt idx="421">64.670000000000002</cx:pt>
          <cx:pt idx="422">53.979999999999997</cx:pt>
          <cx:pt idx="423">81.799999999999997</cx:pt>
          <cx:pt idx="424">99.109999999999999</cx:pt>
          <cx:pt idx="425">99.159999999999997</cx:pt>
          <cx:pt idx="426">84.620000000000005</cx:pt>
          <cx:pt idx="427">73.719999999999999</cx:pt>
          <cx:pt idx="428">77.209999999999994</cx:pt>
          <cx:pt idx="429">58.740000000000002</cx:pt>
          <cx:pt idx="430">91.480000000000004</cx:pt>
          <cx:pt idx="431">65.409999999999997</cx:pt>
          <cx:pt idx="432">85.390000000000001</cx:pt>
          <cx:pt idx="433">89.299999999999997</cx:pt>
          <cx:pt idx="434">89.769999999999996</cx:pt>
          <cx:pt idx="435">67.840000000000003</cx:pt>
          <cx:pt idx="436">74.769999999999996</cx:pt>
          <cx:pt idx="437">98.569999999999993</cx:pt>
          <cx:pt idx="438">87.939999999999998</cx:pt>
          <cx:pt idx="439">79.629999999999995</cx:pt>
          <cx:pt idx="440">98.640000000000001</cx:pt>
          <cx:pt idx="441">88.780000000000001</cx:pt>
          <cx:pt idx="442">54.810000000000002</cx:pt>
          <cx:pt idx="443">98.319999999999993</cx:pt>
          <cx:pt idx="444">89.370000000000005</cx:pt>
          <cx:pt idx="445">81.760000000000005</cx:pt>
          <cx:pt idx="446">60.810000000000002</cx:pt>
          <cx:pt idx="447">89.329999999999998</cx:pt>
          <cx:pt idx="448">74.939999999999998</cx:pt>
          <cx:pt idx="449">99.219999999999999</cx:pt>
          <cx:pt idx="450">99.849999999999994</cx:pt>
          <cx:pt idx="451">76.629999999999995</cx:pt>
          <cx:pt idx="452">63.950000000000003</cx:pt>
          <cx:pt idx="453">81.909999999999997</cx:pt>
          <cx:pt idx="454">51.909999999999997</cx:pt>
          <cx:pt idx="455">93.049999999999997</cx:pt>
          <cx:pt idx="456">59.149999999999999</cx:pt>
          <cx:pt idx="457">52.600000000000001</cx:pt>
          <cx:pt idx="458">58.5</cx:pt>
          <cx:pt idx="459">89.489999999999995</cx:pt>
          <cx:pt idx="460">86.549999999999997</cx:pt>
          <cx:pt idx="461">84.25</cx:pt>
          <cx:pt idx="462">92.890000000000001</cx:pt>
          <cx:pt idx="463">75.150000000000006</cx:pt>
          <cx:pt idx="464">87.189999999999998</cx:pt>
          <cx:pt idx="465">74.439999999999998</cx:pt>
          <cx:pt idx="466">60.409999999999997</cx:pt>
          <cx:pt idx="467">83.409999999999997</cx:pt>
          <cx:pt idx="468">65.859999999999999</cx:pt>
          <cx:pt idx="469">53.140000000000001</cx:pt>
          <cx:pt idx="470">99.870000000000005</cx:pt>
          <cx:pt idx="471">83.829999999999998</cx:pt>
          <cx:pt idx="472">62.18</cx:pt>
          <cx:pt idx="473">81.060000000000002</cx:pt>
          <cx:pt idx="474">60.659999999999997</cx:pt>
          <cx:pt idx="475">81.959999999999994</cx:pt>
          <cx:pt idx="476">53.25</cx:pt>
          <cx:pt idx="477">89.109999999999999</cx:pt>
          <cx:pt idx="478">77.5</cx:pt>
          <cx:pt idx="479">91.209999999999994</cx:pt>
          <cx:pt idx="480">71.319999999999993</cx:pt>
          <cx:pt idx="481">89.430000000000007</cx:pt>
          <cx:pt idx="482">52.549999999999997</cx:pt>
          <cx:pt idx="483">60.850000000000001</cx:pt>
          <cx:pt idx="484">87.900000000000006</cx:pt>
          <cx:pt idx="485">72.760000000000005</cx:pt>
          <cx:pt idx="486">66.359999999999999</cx:pt>
          <cx:pt idx="487">68.060000000000002</cx:pt>
          <cx:pt idx="488">53.009999999999998</cx:pt>
          <cx:pt idx="489">66.129999999999995</cx:pt>
          <cx:pt idx="490">91.700000000000003</cx:pt>
          <cx:pt idx="491">70.579999999999998</cx:pt>
          <cx:pt idx="492">66.829999999999998</cx:pt>
          <cx:pt idx="493">83.540000000000006</cx:pt>
          <cx:pt idx="494">92.739999999999995</cx:pt>
          <cx:pt idx="495">77.659999999999997</cx:pt>
          <cx:pt idx="496">96.650000000000006</cx:pt>
          <cx:pt idx="497">52.420000000000002</cx:pt>
          <cx:pt idx="498">89.849999999999994</cx:pt>
          <cx:pt idx="499">85.629999999999995</cx:pt>
          <cx:pt idx="500">60.5</cx:pt>
          <cx:pt idx="501">95.450000000000003</cx:pt>
          <cx:pt idx="502">74.650000000000006</cx:pt>
          <cx:pt idx="503">95.090000000000003</cx:pt>
          <cx:pt idx="504">60.579999999999998</cx:pt>
          <cx:pt idx="505">92.159999999999997</cx:pt>
          <cx:pt idx="506">91.480000000000004</cx:pt>
          <cx:pt idx="507">80.049999999999997</cx:pt>
          <cx:pt idx="508">65.090000000000003</cx:pt>
          <cx:pt idx="509">56.920000000000002</cx:pt>
          <cx:pt idx="510">97.799999999999997</cx:pt>
          <cx:pt idx="511">66.599999999999994</cx:pt>
          <cx:pt idx="512">52.700000000000003</cx:pt>
          <cx:pt idx="513">55.469999999999999</cx:pt>
          <cx:pt idx="514">65.079999999999998</cx:pt>
          <cx:pt idx="515">51.119999999999997</cx:pt>
          <cx:pt idx="516">73.599999999999994</cx:pt>
          <cx:pt idx="517">72.010000000000005</cx:pt>
          <cx:pt idx="518">58.57</cx:pt>
          <cx:pt idx="519">93.769999999999996</cx:pt>
          <cx:pt idx="520">77.879999999999995</cx:pt>
          <cx:pt idx="521">52.880000000000003</cx:pt>
          <cx:pt idx="522">87.069999999999993</cx:pt>
          <cx:pt idx="523">86.180000000000007</cx:pt>
          <cx:pt idx="524">76.260000000000005</cx:pt>
          <cx:pt idx="525">64.980000000000004</cx:pt>
          <cx:pt idx="526">85.519999999999996</cx:pt>
          <cx:pt idx="527">67.310000000000002</cx:pt>
          <cx:pt idx="528">99.629999999999995</cx:pt>
          <cx:pt idx="529">84.950000000000003</cx:pt>
          <cx:pt idx="530">80.75</cx:pt>
          <cx:pt idx="531">91.599999999999994</cx:pt>
          <cx:pt idx="532">60.060000000000002</cx:pt>
          <cx:pt idx="533">80.930000000000007</cx:pt>
          <cx:pt idx="534">99.659999999999997</cx:pt>
          <cx:pt idx="535">72.629999999999995</cx:pt>
          <cx:pt idx="536">69.900000000000006</cx:pt>
          <cx:pt idx="537">52.799999999999997</cx:pt>
          <cx:pt idx="538">95.280000000000001</cx:pt>
          <cx:pt idx="539">81.109999999999999</cx:pt>
          <cx:pt idx="540">84.019999999999996</cx:pt>
          <cx:pt idx="541">63.579999999999998</cx:pt>
          <cx:pt idx="542">60.350000000000001</cx:pt>
          <cx:pt idx="543">77.730000000000004</cx:pt>
          <cx:pt idx="544">95.010000000000005</cx:pt>
          <cx:pt idx="545">81.180000000000007</cx:pt>
          <cx:pt idx="546">55.140000000000001</cx:pt>
          <cx:pt idx="547">63.039999999999999</cx:pt>
          <cx:pt idx="548">74.739999999999995</cx:pt>
          <cx:pt idx="549">68</cx:pt>
          <cx:pt idx="550">83.930000000000007</cx:pt>
          <cx:pt idx="551">83.819999999999993</cx:pt>
          <cx:pt idx="552">56.189999999999998</cx:pt>
          <cx:pt idx="553">68.510000000000005</cx:pt>
          <cx:pt idx="554">82.060000000000002</cx:pt>
          <cx:pt idx="555">69.109999999999999</cx:pt>
          <cx:pt idx="556">70.909999999999997</cx:pt>
          <cx:pt idx="557">65.349999999999994</cx:pt>
          <cx:pt idx="558">50.859999999999999</cx:pt>
          <cx:pt idx="559">70.299999999999997</cx:pt>
          <cx:pt idx="560">85.340000000000003</cx:pt>
          <cx:pt idx="561">69.609999999999999</cx:pt>
          <cx:pt idx="562">79.840000000000003</cx:pt>
          <cx:pt idx="563">69.870000000000005</cx:pt>
          <cx:pt idx="564">67.109999999999999</cx:pt>
          <cx:pt idx="565">54.090000000000003</cx:pt>
          <cx:pt idx="566">59.170000000000002</cx:pt>
          <cx:pt idx="567">65.840000000000003</cx:pt>
          <cx:pt idx="568">51.880000000000003</cx:pt>
          <cx:pt idx="569">92.870000000000005</cx:pt>
          <cx:pt idx="570">79.370000000000005</cx:pt>
          <cx:pt idx="571">65.680000000000007</cx:pt>
          <cx:pt idx="572">93.530000000000001</cx:pt>
          <cx:pt idx="573">77.680000000000007</cx:pt>
          <cx:pt idx="574">63.700000000000003</cx:pt>
          <cx:pt idx="575">97.540000000000006</cx:pt>
          <cx:pt idx="576">51.850000000000001</cx:pt>
          <cx:pt idx="577">98.609999999999999</cx:pt>
          <cx:pt idx="578">82.329999999999998</cx:pt>
          <cx:pt idx="579">54.420000000000002</cx:pt>
          <cx:pt idx="580">55.32</cx:pt>
          <cx:pt idx="581">94.129999999999995</cx:pt>
          <cx:pt idx="582">55.259999999999998</cx:pt>
          <cx:pt idx="583">96.719999999999999</cx:pt>
          <cx:pt idx="584">59.079999999999998</cx:pt>
          <cx:pt idx="585">65.230000000000004</cx:pt>
          <cx:pt idx="586">77.739999999999995</cx:pt>
          <cx:pt idx="587">90.959999999999994</cx:pt>
          <cx:pt idx="588">68.049999999999997</cx:pt>
          <cx:pt idx="589">57.409999999999997</cx:pt>
          <cx:pt idx="590">66.680000000000007</cx:pt>
          <cx:pt idx="591">80.310000000000002</cx:pt>
          <cx:pt idx="592">53.57</cx:pt>
          <cx:pt idx="593">73.409999999999997</cx:pt>
          <cx:pt idx="594">60.009999999999998</cx:pt>
          <cx:pt idx="595">54.880000000000003</cx:pt>
          <cx:pt idx="596">74.5</cx:pt>
          <cx:pt idx="597">65.829999999999998</cx:pt>
          <cx:pt idx="598">98.379999999999995</cx:pt>
          <cx:pt idx="599">65.269999999999996</cx:pt>
          <cx:pt idx="600">55.159999999999997</cx:pt>
          <cx:pt idx="601">57.149999999999999</cx:pt>
          <cx:pt idx="602">78.390000000000001</cx:pt>
          <cx:pt idx="603">76.859999999999999</cx:pt>
          <cx:pt idx="604">51.259999999999998</cx:pt>
          <cx:pt idx="605">50.409999999999997</cx:pt>
          <cx:pt idx="606">53.439999999999998</cx:pt>
          <cx:pt idx="607">76.530000000000001</cx:pt>
          <cx:pt idx="608">93.670000000000002</cx:pt>
          <cx:pt idx="609">98.329999999999998</cx:pt>
          <cx:pt idx="610">87.409999999999997</cx:pt>
          <cx:pt idx="611">69.980000000000004</cx:pt>
          <cx:pt idx="612">74.989999999999995</cx:pt>
          <cx:pt idx="613">80.290000000000006</cx:pt>
          <cx:pt idx="614">80.359999999999999</cx:pt>
          <cx:pt idx="615">64.180000000000007</cx:pt>
          <cx:pt idx="616">52.939999999999998</cx:pt>
          <cx:pt idx="617">69.459999999999994</cx:pt>
          <cx:pt idx="618">76.150000000000006</cx:pt>
          <cx:pt idx="619">92.510000000000005</cx:pt>
          <cx:pt idx="620">76.379999999999995</cx:pt>
          <cx:pt idx="621">59.200000000000003</cx:pt>
          <cx:pt idx="622">64.310000000000002</cx:pt>
          <cx:pt idx="623">51.380000000000003</cx:pt>
          <cx:pt idx="624">51.990000000000002</cx:pt>
          <cx:pt idx="625">94.180000000000007</cx:pt>
          <cx:pt idx="626">62.710000000000001</cx:pt>
          <cx:pt idx="627">68.329999999999998</cx:pt>
          <cx:pt idx="628">98.489999999999995</cx:pt>
          <cx:pt idx="629">75.540000000000006</cx:pt>
          <cx:pt idx="630">53.789999999999999</cx:pt>
          <cx:pt idx="631">82.969999999999999</cx:pt>
          <cx:pt idx="632">78.950000000000003</cx:pt>
          <cx:pt idx="633">71.700000000000003</cx:pt>
          <cx:pt idx="634">91.879999999999995</cx:pt>
          <cx:pt idx="635">96.390000000000001</cx:pt>
          <cx:pt idx="636">96.599999999999994</cx:pt>
          <cx:pt idx="637">79.239999999999995</cx:pt>
          <cx:pt idx="638">57.539999999999999</cx:pt>
          <cx:pt idx="639">76.140000000000001</cx:pt>
          <cx:pt idx="640">73.349999999999994</cx:pt>
          <cx:pt idx="641">71.359999999999999</cx:pt>
          <cx:pt idx="642">65.5</cx:pt>
          <cx:pt idx="643">94.560000000000002</cx:pt>
          <cx:pt idx="644">82.769999999999996</cx:pt>
          <cx:pt idx="645">87.900000000000006</cx:pt>
          <cx:pt idx="646">97.75</cx:pt>
          <cx:pt idx="647">88.680000000000007</cx:pt>
          <cx:pt idx="648">79.290000000000006</cx:pt>
          <cx:pt idx="649">58.409999999999997</cx:pt>
          <cx:pt idx="650">68.760000000000005</cx:pt>
          <cx:pt idx="651">56.289999999999999</cx:pt>
          <cx:pt idx="652">81.069999999999993</cx:pt>
          <cx:pt idx="653">67.450000000000003</cx:pt>
          <cx:pt idx="654">52.020000000000003</cx:pt>
          <cx:pt idx="655">70.430000000000007</cx:pt>
          <cx:pt idx="656">91.510000000000005</cx:pt>
          <cx:pt idx="657">71.689999999999998</cx:pt>
          <cx:pt idx="658">73.340000000000003</cx:pt>
          <cx:pt idx="659">90.75</cx:pt>
          <cx:pt idx="660">70.019999999999996</cx:pt>
          <cx:pt idx="661">75.659999999999997</cx:pt>
          <cx:pt idx="662">83.890000000000001</cx:pt>
          <cx:pt idx="663">76.459999999999994</cx:pt>
          <cx:pt idx="664">82.510000000000005</cx:pt>
          <cx:pt idx="665">56.310000000000002</cx:pt>
          <cx:pt idx="666">90.400000000000006</cx:pt>
          <cx:pt idx="667">62.549999999999997</cx:pt>
          <cx:pt idx="668">69.640000000000001</cx:pt>
          <cx:pt idx="669">78.989999999999995</cx:pt>
          <cx:pt idx="670">59.530000000000001</cx:pt>
          <cx:pt idx="671">85.219999999999999</cx:pt>
          <cx:pt idx="672">70.359999999999999</cx:pt>
          <cx:pt idx="673">87.019999999999996</cx:pt>
          <cx:pt idx="674">62.979999999999997</cx:pt>
          <cx:pt idx="675">50.149999999999999</cx:pt>
          <cx:pt idx="676">82.760000000000005</cx:pt>
          <cx:pt idx="677">70.299999999999997</cx:pt>
          <cx:pt idx="678">60.539999999999999</cx:pt>
          <cx:pt idx="679">53.630000000000003</cx:pt>
          <cx:pt idx="680">86.569999999999993</cx:pt>
          <cx:pt idx="681">66.769999999999996</cx:pt>
          <cx:pt idx="682">52.509999999999998</cx:pt>
          <cx:pt idx="683">96.700000000000003</cx:pt>
          <cx:pt idx="684">59.770000000000003</cx:pt>
          <cx:pt idx="685">68.25</cx:pt>
          <cx:pt idx="686">72.069999999999993</cx:pt>
          <cx:pt idx="687">63.130000000000003</cx:pt>
          <cx:pt idx="688">89.25</cx:pt>
          <cx:pt idx="689">63.780000000000001</cx:pt>
          <cx:pt idx="690">95.370000000000005</cx:pt>
          <cx:pt idx="691">89.769999999999996</cx:pt>
          <cx:pt idx="692">72.599999999999994</cx:pt>
          <cx:pt idx="693">87.159999999999997</cx:pt>
          <cx:pt idx="694">63.299999999999997</cx:pt>
          <cx:pt idx="695">75.640000000000001</cx:pt>
          <cx:pt idx="696">72.769999999999996</cx:pt>
          <cx:pt idx="697">68.780000000000001</cx:pt>
          <cx:pt idx="698">89.969999999999999</cx:pt>
          <cx:pt idx="699">56.810000000000002</cx:pt>
          <cx:pt idx="700">91.969999999999999</cx:pt>
          <cx:pt idx="701">99.670000000000002</cx:pt>
          <cx:pt idx="702">75.010000000000005</cx:pt>
          <cx:pt idx="703">96.540000000000006</cx:pt>
          <cx:pt idx="704">94.290000000000006</cx:pt>
          <cx:pt idx="705">60.829999999999998</cx:pt>
          <cx:pt idx="706">69.75</cx:pt>
          <cx:pt idx="707">58.340000000000003</cx:pt>
          <cx:pt idx="708">54.960000000000001</cx:pt>
          <cx:pt idx="709">84.829999999999998</cx:pt>
          <cx:pt idx="710">79.459999999999994</cx:pt>
          <cx:pt idx="711">96.159999999999997</cx:pt>
          <cx:pt idx="712">51.670000000000002</cx:pt>
          <cx:pt idx="713">67.370000000000005</cx:pt>
          <cx:pt idx="714">87.879999999999995</cx:pt>
          <cx:pt idx="715">81.609999999999999</cx:pt>
          <cx:pt idx="716">85.480000000000004</cx:pt>
          <cx:pt idx="717">64.469999999999999</cx:pt>
          <cx:pt idx="718">91.230000000000004</cx:pt>
          <cx:pt idx="719">95.019999999999996</cx:pt>
          <cx:pt idx="720">85.379999999999995</cx:pt>
          <cx:pt idx="721">85.319999999999993</cx:pt>
          <cx:pt idx="722">59.969999999999999</cx:pt>
          <cx:pt idx="723">82.189999999999998</cx:pt>
          <cx:pt idx="724">69.109999999999999</cx:pt>
          <cx:pt idx="725">93.409999999999997</cx:pt>
          <cx:pt idx="726">88.060000000000002</cx:pt>
          <cx:pt idx="727">51.25</cx:pt>
          <cx:pt idx="728">90.549999999999997</cx:pt>
          <cx:pt idx="729">72.909999999999997</cx:pt>
          <cx:pt idx="730">88.810000000000002</cx:pt>
          <cx:pt idx="731">56.369999999999997</cx:pt>
          <cx:pt idx="732">80.579999999999998</cx:pt>
          <cx:pt idx="733">95.359999999999999</cx:pt>
          <cx:pt idx="734">85.370000000000005</cx:pt>
          <cx:pt idx="735">50.649999999999999</cx:pt>
          <cx:pt idx="736">54.289999999999999</cx:pt>
          <cx:pt idx="737">87.060000000000002</cx:pt>
          <cx:pt idx="738">69.629999999999995</cx:pt>
          <cx:pt idx="739">73.109999999999999</cx:pt>
          <cx:pt idx="740">55.420000000000002</cx:pt>
          <cx:pt idx="741">94.120000000000005</cx:pt>
          <cx:pt idx="742">60.5</cx:pt>
          <cx:pt idx="743">60.18</cx:pt>
          <cx:pt idx="744">72.629999999999995</cx:pt>
          <cx:pt idx="745">81.989999999999995</cx:pt>
          <cx:pt idx="746">85</cx:pt>
          <cx:pt idx="747">69.840000000000003</cx:pt>
          <cx:pt idx="748">79.390000000000001</cx:pt>
          <cx:pt idx="749">96.439999999999998</cx:pt>
          <cx:pt idx="750">79.569999999999993</cx:pt>
          <cx:pt idx="751">85.030000000000001</cx:pt>
          <cx:pt idx="752">99.5</cx:pt>
          <cx:pt idx="753">67.25</cx:pt>
          <cx:pt idx="754">57.079999999999998</cx:pt>
          <cx:pt idx="755">73.540000000000006</cx:pt>
          <cx:pt idx="756">60.759999999999998</cx:pt>
          <cx:pt idx="757">50.82</cx:pt>
          <cx:pt idx="758">64.930000000000007</cx:pt>
          <cx:pt idx="759">91.159999999999997</cx:pt>
          <cx:pt idx="760">98.680000000000007</cx:pt>
          <cx:pt idx="761">82.689999999999998</cx:pt>
          <cx:pt idx="762">81.239999999999995</cx:pt>
          <cx:pt idx="763">71.569999999999993</cx:pt>
          <cx:pt idx="764">95.840000000000003</cx:pt>
          <cx:pt idx="765">52.649999999999999</cx:pt>
          <cx:pt idx="766">74</cx:pt>
          <cx:pt idx="767">81.950000000000003</cx:pt>
          <cx:pt idx="768">61.460000000000001</cx:pt>
          <cx:pt idx="769">66.359999999999999</cx:pt>
          <cx:pt idx="770">68.150000000000006</cx:pt>
          <cx:pt idx="771">60.600000000000001</cx:pt>
          <cx:pt idx="772">87.819999999999993</cx:pt>
          <cx:pt idx="773">77.5</cx:pt>
          <cx:pt idx="774">68.75</cx:pt>
          <cx:pt idx="775">69.980000000000004</cx:pt>
          <cx:pt idx="776">79.209999999999994</cx:pt>
          <cx:pt idx="777">59.219999999999999</cx:pt>
          <cx:pt idx="778">68.459999999999994</cx:pt>
          <cx:pt idx="779">90.599999999999994</cx:pt>
          <cx:pt idx="780">53.939999999999998</cx:pt>
          <cx:pt idx="781">59.740000000000002</cx:pt>
          <cx:pt idx="782">62.630000000000003</cx:pt>
          <cx:pt idx="783">76.579999999999998</cx:pt>
          <cx:pt idx="784">56.07</cx:pt>
          <cx:pt idx="785">99.969999999999999</cx:pt>
          <cx:pt idx="786">84.579999999999998</cx:pt>
          <cx:pt idx="787">62.039999999999999</cx:pt>
          <cx:pt idx="788">88.989999999999995</cx:pt>
          <cx:pt idx="789">93.849999999999994</cx:pt>
          <cx:pt idx="790">51.200000000000003</cx:pt>
          <cx:pt idx="791">75.829999999999998</cx:pt>
          <cx:pt idx="792">90</cx:pt>
          <cx:pt idx="793">54.450000000000003</cx:pt>
          <cx:pt idx="794">69.799999999999997</cx:pt>
          <cx:pt idx="795">84.290000000000006</cx:pt>
          <cx:pt idx="796">61.920000000000002</cx:pt>
          <cx:pt idx="797">55.240000000000002</cx:pt>
          <cx:pt idx="798">78.829999999999998</cx:pt>
          <cx:pt idx="799">62.009999999999998</cx:pt>
          <cx:pt idx="800">99.709999999999994</cx:pt>
          <cx:pt idx="801">77.260000000000005</cx:pt>
          <cx:pt idx="802">57.030000000000001</cx:pt>
          <cx:pt idx="803">56.560000000000002</cx:pt>
          <cx:pt idx="804">92.579999999999998</cx:pt>
          <cx:pt idx="805">95.030000000000001</cx:pt>
          <cx:pt idx="806">63.799999999999997</cx:pt>
          <cx:pt idx="807">51.520000000000003</cx:pt>
          <cx:pt idx="808">62.68</cx:pt>
          <cx:pt idx="809">88.980000000000004</cx:pt>
          <cx:pt idx="810">88.170000000000002</cx:pt>
          <cx:pt idx="811">94.689999999999998</cx:pt>
          <cx:pt idx="812">69.109999999999999</cx:pt>
          <cx:pt idx="813">52.969999999999999</cx:pt>
          <cx:pt idx="814">59.159999999999997</cx:pt>
          <cx:pt idx="815">93.049999999999997</cx:pt>
          <cx:pt idx="816">93.430000000000007</cx:pt>
          <cx:pt idx="817">69.709999999999994</cx:pt>
          <cx:pt idx="818">52.829999999999998</cx:pt>
          <cx:pt idx="819">98</cx:pt>
          <cx:pt idx="820">71.430000000000007</cx:pt>
          <cx:pt idx="821">70.530000000000001</cx:pt>
          <cx:pt idx="822">56.369999999999997</cx:pt>
          <cx:pt idx="823">99.090000000000003</cx:pt>
          <cx:pt idx="824">75.349999999999994</cx:pt>
          <cx:pt idx="825">91.780000000000001</cx:pt>
          <cx:pt idx="826">71.609999999999999</cx:pt>
          <cx:pt idx="827">56.770000000000003</cx:pt>
          <cx:pt idx="828">85.959999999999994</cx:pt>
          <cx:pt idx="829">92.969999999999999</cx:pt>
          <cx:pt idx="830">74.840000000000003</cx:pt>
          <cx:pt idx="831">83.609999999999999</cx:pt>
          <cx:pt idx="832">79.299999999999997</cx:pt>
          <cx:pt idx="833">68.829999999999998</cx:pt>
          <cx:pt idx="834">68.189999999999998</cx:pt>
          <cx:pt idx="835">67.079999999999998</cx:pt>
          <cx:pt idx="836">98.069999999999993</cx:pt>
          <cx:pt idx="837">77.459999999999994</cx:pt>
          <cx:pt idx="838">60.490000000000002</cx:pt>
          <cx:pt idx="839">92.950000000000003</cx:pt>
          <cx:pt idx="840">92.030000000000001</cx:pt>
          <cx:pt idx="841">81.620000000000005</cx:pt>
          <cx:pt idx="842">78.359999999999999</cx:pt>
          <cx:pt idx="843">98.769999999999996</cx:pt>
          <cx:pt idx="844">91.260000000000005</cx:pt>
          <cx:pt idx="845">88.939999999999998</cx:pt>
          <cx:pt idx="846">54.130000000000003</cx:pt>
          <cx:pt idx="847">59.729999999999997</cx:pt>
          <cx:pt idx="848">84.290000000000006</cx:pt>
          <cx:pt idx="849">82.730000000000004</cx:pt>
          <cx:pt idx="850">63.840000000000003</cx:pt>
          <cx:pt idx="851">80.629999999999995</cx:pt>
          <cx:pt idx="852">77.700000000000003</cx:pt>
          <cx:pt idx="853">89.5</cx:pt>
          <cx:pt idx="854">89.430000000000007</cx:pt>
          <cx:pt idx="855">84.209999999999994</cx:pt>
          <cx:pt idx="856">98.599999999999994</cx:pt>
          <cx:pt idx="857">78.650000000000006</cx:pt>
          <cx:pt idx="858">68.280000000000001</cx:pt>
          <cx:pt idx="859">97.819999999999993</cx:pt>
          <cx:pt idx="860">96.840000000000003</cx:pt>
          <cx:pt idx="861">84.989999999999995</cx:pt>
          <cx:pt idx="862">93.75</cx:pt>
          <cx:pt idx="863">61.340000000000003</cx:pt>
          <cx:pt idx="864">77.510000000000005</cx:pt>
          <cx:pt idx="865">62.340000000000003</cx:pt>
          <cx:pt idx="866">78.030000000000001</cx:pt>
          <cx:pt idx="867">82.340000000000003</cx:pt>
          <cx:pt idx="868">91.489999999999995</cx:pt>
          <cx:pt idx="869">63.939999999999998</cx:pt>
          <cx:pt idx="870">67.989999999999995</cx:pt>
          <cx:pt idx="871">78.280000000000001</cx:pt>
          <cx:pt idx="872">84.099999999999994</cx:pt>
          <cx:pt idx="873">63.950000000000003</cx:pt>
          <cx:pt idx="874">63.399999999999999</cx:pt>
          <cx:pt idx="875">80.480000000000004</cx:pt>
          <cx:pt idx="876">86.599999999999994</cx:pt>
          <cx:pt idx="877">77.989999999999995</cx:pt>
          <cx:pt idx="878">66.890000000000001</cx:pt>
          <cx:pt idx="879">99.890000000000001</cx:pt>
          <cx:pt idx="880">94.120000000000005</cx:pt>
          <cx:pt idx="881">88.019999999999996</cx:pt>
          <cx:pt idx="882">68.170000000000002</cx:pt>
          <cx:pt idx="883">90.170000000000002</cx:pt>
          <cx:pt idx="884">54.229999999999997</cx:pt>
          <cx:pt idx="885">53.450000000000003</cx:pt>
          <cx:pt idx="886">96.030000000000001</cx:pt>
          <cx:pt idx="887">70.829999999999998</cx:pt>
          <cx:pt idx="888">58.439999999999998</cx:pt>
          <cx:pt idx="889">85.409999999999997</cx:pt>
          <cx:pt idx="890">59.600000000000001</cx:pt>
          <cx:pt idx="891">50.840000000000003</cx:pt>
          <cx:pt idx="892">57.600000000000001</cx:pt>
          <cx:pt idx="893">54.289999999999999</cx:pt>
          <cx:pt idx="894">71.629999999999995</cx:pt>
          <cx:pt idx="895">55.810000000000002</cx:pt>
          <cx:pt idx="896">99.439999999999998</cx:pt>
          <cx:pt idx="897">66.510000000000005</cx:pt>
          <cx:pt idx="898">56.030000000000001</cx:pt>
          <cx:pt idx="899">94.620000000000005</cx:pt>
          <cx:pt idx="900">55.950000000000003</cx:pt>
          <cx:pt idx="901">61.280000000000001</cx:pt>
          <cx:pt idx="902">58.280000000000001</cx:pt>
          <cx:pt idx="903">82.060000000000002</cx:pt>
          <cx:pt idx="904">67.310000000000002</cx:pt>
          <cx:pt idx="905">71.739999999999995</cx:pt>
          <cx:pt idx="906">53.869999999999997</cx:pt>
          <cx:pt idx="907">67.480000000000004</cx:pt>
          <cx:pt idx="908">74.650000000000006</cx:pt>
          <cx:pt idx="909">63.280000000000001</cx:pt>
          <cx:pt idx="910">73.519999999999996</cx:pt>
          <cx:pt idx="911">88.890000000000001</cx:pt>
          <cx:pt idx="912">63.270000000000003</cx:pt>
          <cx:pt idx="913">93.359999999999999</cx:pt>
          <cx:pt idx="914">58.490000000000002</cx:pt>
          <cx:pt idx="915">93.549999999999997</cx:pt>
          <cx:pt idx="916">86.209999999999994</cx:pt>
          <cx:pt idx="917">71.760000000000005</cx:pt>
          <cx:pt idx="918">94.25</cx:pt>
          <cx:pt idx="919">54.82</cx:pt>
          <cx:pt idx="920">81.689999999999998</cx:pt>
          <cx:pt idx="921">53.469999999999999</cx:pt>
          <cx:pt idx="922">73.930000000000007</cx:pt>
          <cx:pt idx="923">87.769999999999996</cx:pt>
          <cx:pt idx="924">67.040000000000006</cx:pt>
          <cx:pt idx="925">95.079999999999998</cx:pt>
          <cx:pt idx="926">79.909999999999997</cx:pt>
          <cx:pt idx="927">63.159999999999997</cx:pt>
          <cx:pt idx="928">81.900000000000006</cx:pt>
          <cx:pt idx="929">63.200000000000003</cx:pt>
          <cx:pt idx="930">89.680000000000007</cx:pt>
          <cx:pt idx="931">56.659999999999997</cx:pt>
          <cx:pt idx="932">84.769999999999996</cx:pt>
          <cx:pt idx="933">67.230000000000004</cx:pt>
          <cx:pt idx="934">84.319999999999993</cx:pt>
          <cx:pt idx="935">95.760000000000005</cx:pt>
          <cx:pt idx="936">81.879999999999995</cx:pt>
          <cx:pt idx="937">74.469999999999999</cx:pt>
          <cx:pt idx="938">63.310000000000002</cx:pt>
          <cx:pt idx="939">83.049999999999997</cx:pt>
          <cx:pt idx="940">76.439999999999998</cx:pt>
          <cx:pt idx="941">90.260000000000005</cx:pt>
          <cx:pt idx="942">74.040000000000006</cx:pt>
          <cx:pt idx="943">57.240000000000002</cx:pt>
          <cx:pt idx="944">95.609999999999999</cx:pt>
          <cx:pt idx="945">99.629999999999995</cx:pt>
          <cx:pt idx="946">65.849999999999994</cx:pt>
          <cx:pt idx="947">56.549999999999997</cx:pt>
          <cx:pt idx="948">67.260000000000005</cx:pt>
          <cx:pt idx="949">84.010000000000005</cx:pt>
          <cx:pt idx="950">87.870000000000005</cx:pt>
          <cx:pt idx="951">76.019999999999996</cx:pt>
          <cx:pt idx="952">56.549999999999997</cx:pt>
          <cx:pt idx="953">66.849999999999994</cx:pt>
          <cx:pt idx="954">94.359999999999999</cx:pt>
          <cx:pt idx="955">77.939999999999998</cx:pt>
          <cx:pt idx="956">51.109999999999999</cx:pt>
          <cx:pt idx="957">69.680000000000007</cx:pt>
          <cx:pt idx="958">51.899999999999999</cx:pt>
          <cx:pt idx="959">68.439999999999998</cx:pt>
          <cx:pt idx="960">63.289999999999999</cx:pt>
          <cx:pt idx="961">90.939999999999998</cx:pt>
          <cx:pt idx="962">93.489999999999995</cx:pt>
          <cx:pt idx="963">73.780000000000001</cx:pt>
          <cx:pt idx="964">89.730000000000004</cx:pt>
          <cx:pt idx="965">69.519999999999996</cx:pt>
          <cx:pt idx="966">79.780000000000001</cx:pt>
          <cx:pt idx="967">96.930000000000007</cx:pt>
          <cx:pt idx="968">59.640000000000001</cx:pt>
          <cx:pt idx="969">94.560000000000002</cx:pt>
          <cx:pt idx="970">59</cx:pt>
          <cx:pt idx="971">75.780000000000001</cx:pt>
          <cx:pt idx="972">98.890000000000001</cx:pt>
          <cx:pt idx="973">82.739999999999995</cx:pt>
          <cx:pt idx="974">91.329999999999998</cx:pt>
          <cx:pt idx="975">61.649999999999999</cx:pt>
          <cx:pt idx="976">72.530000000000001</cx:pt>
          <cx:pt idx="977">89.510000000000005</cx:pt>
          <cx:pt idx="978">98.109999999999999</cx:pt>
          <cx:pt idx="979">74.150000000000006</cx:pt>
          <cx:pt idx="980">73.390000000000001</cx:pt>
          <cx:pt idx="981">65.370000000000005</cx:pt>
          <cx:pt idx="982">57.299999999999997</cx:pt>
          <cx:pt idx="983">79.849999999999994</cx:pt>
          <cx:pt idx="984">51.710000000000001</cx:pt>
          <cx:pt idx="985">95.019999999999996</cx:pt>
          <cx:pt idx="986">90.299999999999997</cx:pt>
          <cx:pt idx="987">52.039999999999999</cx:pt>
          <cx:pt idx="988">91.129999999999995</cx:pt>
          <cx:pt idx="989">95.959999999999994</cx:pt>
          <cx:pt idx="990">50.880000000000003</cx:pt>
          <cx:pt idx="991">82.109999999999999</cx:pt>
          <cx:pt idx="992">89.689999999999998</cx:pt>
          <cx:pt idx="993">68.670000000000002</cx:pt>
          <cx:pt idx="994">75.670000000000002</cx:pt>
          <cx:pt idx="995">66.239999999999995</cx:pt>
          <cx:pt idx="996">54.93</cx:pt>
          <cx:pt idx="997">94.569999999999993</cx:pt>
          <cx:pt idx="998">69.530000000000001</cx:pt>
          <cx:pt idx="999">78.859999999999999</cx:pt>
          <cx:pt idx="1000">84.730000000000004</cx:pt>
          <cx:pt idx="1001">62.799999999999997</cx:pt>
          <cx:pt idx="1002">85.689999999999998</cx:pt>
          <cx:pt idx="1003">54.090000000000003</cx:pt>
          <cx:pt idx="1004">81.609999999999999</cx:pt>
          <cx:pt idx="1005">67.579999999999998</cx:pt>
          <cx:pt idx="1006">92.530000000000001</cx:pt>
          <cx:pt idx="1007">96.469999999999999</cx:pt>
          <cx:pt idx="1008">52.259999999999998</cx:pt>
          <cx:pt idx="1009">91.180000000000007</cx:pt>
          <cx:pt idx="1010">93.180000000000007</cx:pt>
          <cx:pt idx="1011">55.270000000000003</cx:pt>
          <cx:pt idx="1012">64.420000000000002</cx:pt>
          <cx:pt idx="1013">56.700000000000003</cx:pt>
          <cx:pt idx="1014">73.200000000000003</cx:pt>
          <cx:pt idx="1015">69.769999999999996</cx:pt>
          <cx:pt idx="1016">69.909999999999997</cx:pt>
          <cx:pt idx="1017">57.210000000000001</cx:pt>
          <cx:pt idx="1018">58.600000000000001</cx:pt>
          <cx:pt idx="1019">57.049999999999997</cx:pt>
          <cx:pt idx="1020">58.460000000000001</cx:pt>
          <cx:pt idx="1021">94.329999999999998</cx:pt>
          <cx:pt idx="1022">70.430000000000007</cx:pt>
          <cx:pt idx="1023">67.959999999999994</cx:pt>
          <cx:pt idx="1024">93.769999999999996</cx:pt>
          <cx:pt idx="1025">67.420000000000002</cx:pt>
          <cx:pt idx="1026">85.189999999999998</cx:pt>
          <cx:pt idx="1027">82.640000000000001</cx:pt>
          <cx:pt idx="1028">57.130000000000003</cx:pt>
          <cx:pt idx="1029">50.950000000000003</cx:pt>
          <cx:pt idx="1030">90.109999999999999</cx:pt>
          <cx:pt idx="1031">88.909999999999997</cx:pt>
          <cx:pt idx="1032">68.010000000000005</cx:pt>
          <cx:pt idx="1033">93.890000000000001</cx:pt>
          <cx:pt idx="1034">65.930000000000007</cx:pt>
          <cx:pt idx="1035">89.609999999999999</cx:pt>
          <cx:pt idx="1036">75.890000000000001</cx:pt>
          <cx:pt idx="1037">78.489999999999995</cx:pt>
          <cx:pt idx="1038">88.280000000000001</cx:pt>
          <cx:pt idx="1039">55.780000000000001</cx:pt>
          <cx:pt idx="1040">88.159999999999997</cx:pt>
          <cx:pt idx="1041">94.829999999999998</cx:pt>
          <cx:pt idx="1042">73.400000000000006</cx:pt>
          <cx:pt idx="1043">85.540000000000006</cx:pt>
          <cx:pt idx="1044">86.310000000000002</cx:pt>
          <cx:pt idx="1045">71.159999999999997</cx:pt>
          <cx:pt idx="1046">55.18</cx:pt>
          <cx:pt idx="1047">85.590000000000003</cx:pt>
          <cx:pt idx="1048">66.060000000000002</cx:pt>
          <cx:pt idx="1049">55.710000000000001</cx:pt>
          <cx:pt idx="1050">88.689999999999998</cx:pt>
          <cx:pt idx="1051">89.099999999999994</cx:pt>
          <cx:pt idx="1052">79.319999999999993</cx:pt>
          <cx:pt idx="1053">55.079999999999998</cx:pt>
          <cx:pt idx="1054">95.650000000000006</cx:pt>
          <cx:pt idx="1055">57.590000000000003</cx:pt>
          <cx:pt idx="1056">56.670000000000002</cx:pt>
          <cx:pt idx="1057">50.509999999999998</cx:pt>
          <cx:pt idx="1058">62.770000000000003</cx:pt>
          <cx:pt idx="1059">85.510000000000005</cx:pt>
          <cx:pt idx="1060">99.069999999999993</cx:pt>
          <cx:pt idx="1061">88.719999999999999</cx:pt>
          <cx:pt idx="1062">73.049999999999997</cx:pt>
          <cx:pt idx="1063">64.650000000000006</cx:pt>
          <cx:pt idx="1064">82.439999999999998</cx:pt>
          <cx:pt idx="1065">90.909999999999997</cx:pt>
          <cx:pt idx="1066">60.840000000000003</cx:pt>
          <cx:pt idx="1067">92.659999999999997</cx:pt>
          <cx:pt idx="1068">84.989999999999995</cx:pt>
          <cx:pt idx="1069">76.640000000000001</cx:pt>
          <cx:pt idx="1070">99.200000000000003</cx:pt>
          <cx:pt idx="1071">64.120000000000005</cx:pt>
          <cx:pt idx="1072">52.590000000000003</cx:pt>
          <cx:pt idx="1073">50.469999999999999</cx:pt>
          <cx:pt idx="1074">79.090000000000003</cx:pt>
          <cx:pt idx="1075">63.170000000000002</cx:pt>
          <cx:pt idx="1076">99.019999999999996</cx:pt>
          <cx:pt idx="1077">95.810000000000002</cx:pt>
          <cx:pt idx="1078">64.140000000000001</cx:pt>
          <cx:pt idx="1079">90.060000000000002</cx:pt>
          <cx:pt idx="1080">74.010000000000005</cx:pt>
          <cx:pt idx="1081">82.849999999999994</cx:pt>
          <cx:pt idx="1082">98.560000000000002</cx:pt>
          <cx:pt idx="1083">55.670000000000002</cx:pt>
          <cx:pt idx="1084">80.239999999999995</cx:pt>
          <cx:pt idx="1085">95.840000000000003</cx:pt>
          <cx:pt idx="1086">59.509999999999998</cx:pt>
          <cx:pt idx="1087">88.620000000000005</cx:pt>
          <cx:pt idx="1088">72.75</cx:pt>
          <cx:pt idx="1089">74.609999999999999</cx:pt>
          <cx:pt idx="1090">80.189999999999998</cx:pt>
          <cx:pt idx="1091">61.740000000000002</cx:pt>
          <cx:pt idx="1092">54.469999999999999</cx:pt>
          <cx:pt idx="1093">74.299999999999997</cx:pt>
          <cx:pt idx="1094">85.040000000000006</cx:pt>
          <cx:pt idx="1095">72.269999999999996</cx:pt>
          <cx:pt idx="1096">84.530000000000001</cx:pt>
          <cx:pt idx="1097">68.310000000000002</cx:pt>
          <cx:pt idx="1098">62.530000000000001</cx:pt>
          <cx:pt idx="1099">59.159999999999997</cx:pt>
          <cx:pt idx="1100">66.760000000000005</cx:pt>
          <cx:pt idx="1101">78.769999999999996</cx:pt>
          <cx:pt idx="1102">66.459999999999994</cx:pt>
          <cx:pt idx="1103">60.829999999999998</cx:pt>
          <cx:pt idx="1104">90.299999999999997</cx:pt>
          <cx:pt idx="1105">50.560000000000002</cx:pt>
          <cx:pt idx="1106">65.420000000000002</cx:pt>
          <cx:pt idx="1107">55.759999999999998</cx:pt>
          <cx:pt idx="1108">82.760000000000005</cx:pt>
          <cx:pt idx="1109">66.760000000000005</cx:pt>
          <cx:pt idx="1110">63.399999999999999</cx:pt>
          <cx:pt idx="1111">54.710000000000001</cx:pt>
          <cx:pt idx="1112">62.009999999999998</cx:pt>
          <cx:pt idx="1113">84.939999999999998</cx:pt>
          <cx:pt idx="1114">82.980000000000004</cx:pt>
          <cx:pt idx="1115">96.189999999999998</cx:pt>
          <cx:pt idx="1116">87.209999999999994</cx:pt>
          <cx:pt idx="1117">51.420000000000002</cx:pt>
          <cx:pt idx="1118">93.409999999999997</cx:pt>
          <cx:pt idx="1119">79.170000000000002</cx:pt>
          <cx:pt idx="1120">95.340000000000003</cx:pt>
          <cx:pt idx="1121">74.200000000000003</cx:pt>
          <cx:pt idx="1122">62.630000000000003</cx:pt>
          <cx:pt idx="1123">70.489999999999995</cx:pt>
          <cx:pt idx="1124">97.579999999999998</cx:pt>
          <cx:pt idx="1125">63.049999999999997</cx:pt>
          <cx:pt idx="1126">64.599999999999994</cx:pt>
          <cx:pt idx="1127">88.480000000000004</cx:pt>
          <cx:pt idx="1128">50.939999999999998</cx:pt>
          <cx:pt idx="1129">62.159999999999997</cx:pt>
          <cx:pt idx="1130">87.760000000000005</cx:pt>
          <cx:pt idx="1131">81.019999999999996</cx:pt>
          <cx:pt idx="1132">79.319999999999993</cx:pt>
          <cx:pt idx="1133">86.920000000000002</cx:pt>
          <cx:pt idx="1134">56.740000000000002</cx:pt>
          <cx:pt idx="1135">80.359999999999999</cx:pt>
          <cx:pt idx="1136">95.519999999999996</cx:pt>
          <cx:pt idx="1137">78.969999999999999</cx:pt>
          <cx:pt idx="1138">60.899999999999999</cx:pt>
          <cx:pt idx="1139">74.939999999999998</cx:pt>
          <cx:pt idx="1140">84.849999999999994</cx:pt>
          <cx:pt idx="1141">80.819999999999993</cx:pt>
          <cx:pt idx="1142">69.109999999999999</cx:pt>
          <cx:pt idx="1143">79.629999999999995</cx:pt>
          <cx:pt idx="1144">59.810000000000002</cx:pt>
          <cx:pt idx="1145">95.549999999999997</cx:pt>
          <cx:pt idx="1146">55.049999999999997</cx:pt>
          <cx:pt idx="1147">82.700000000000003</cx:pt>
          <cx:pt idx="1148">53.329999999999998</cx:pt>
          <cx:pt idx="1149">52.950000000000003</cx:pt>
          <cx:pt idx="1150">64.560000000000002</cx:pt>
          <cx:pt idx="1151">77.230000000000004</cx:pt>
          <cx:pt idx="1152">56.049999999999997</cx:pt>
          <cx:pt idx="1153">63.350000000000001</cx:pt>
          <cx:pt idx="1154">89.640000000000001</cx:pt>
          <cx:pt idx="1155">78.799999999999997</cx:pt>
          <cx:pt idx="1156">73.090000000000003</cx:pt>
          <cx:pt idx="1157">54.890000000000001</cx:pt>
          <cx:pt idx="1158">69.469999999999999</cx:pt>
          <cx:pt idx="1159">67.719999999999999</cx:pt>
          <cx:pt idx="1160">94.829999999999998</cx:pt>
          <cx:pt idx="1161">70.900000000000006</cx:pt>
          <cx:pt idx="1162">52.329999999999998</cx:pt>
          <cx:pt idx="1163">87.530000000000001</cx:pt>
          <cx:pt idx="1164">85.640000000000001</cx:pt>
          <cx:pt idx="1165">90.159999999999997</cx:pt>
          <cx:pt idx="1166">69.579999999999998</cx:pt>
          <cx:pt idx="1167">59.649999999999999</cx:pt>
          <cx:pt idx="1168">97.760000000000005</cx:pt>
          <cx:pt idx="1169">78.25</cx:pt>
          <cx:pt idx="1170">76.159999999999997</cx:pt>
          <cx:pt idx="1171">88.060000000000002</cx:pt>
          <cx:pt idx="1172">52.960000000000001</cx:pt>
          <cx:pt idx="1173">74.670000000000002</cx:pt>
          <cx:pt idx="1174">87.109999999999999</cx:pt>
          <cx:pt idx="1175">64.230000000000004</cx:pt>
          <cx:pt idx="1176">56.990000000000002</cx:pt>
          <cx:pt idx="1177">66.719999999999999</cx:pt>
          <cx:pt idx="1178">59.689999999999998</cx:pt>
          <cx:pt idx="1179">68.75</cx:pt>
          <cx:pt idx="1180">50.399999999999999</cx:pt>
          <cx:pt idx="1181">67.980000000000004</cx:pt>
          <cx:pt idx="1182">58.07</cx:pt>
          <cx:pt idx="1183">59.57</cx:pt>
          <cx:pt idx="1184">79.230000000000004</cx:pt>
          <cx:pt idx="1185">93.620000000000005</cx:pt>
          <cx:pt idx="1186">66.290000000000006</cx:pt>
          <cx:pt idx="1187">55.060000000000002</cx:pt>
          <cx:pt idx="1188">57.280000000000001</cx:pt>
          <cx:pt idx="1189">53.200000000000003</cx:pt>
          <cx:pt idx="1190">73.450000000000003</cx:pt>
          <cx:pt idx="1191">90</cx:pt>
          <cx:pt idx="1192">88.25</cx:pt>
          <cx:pt idx="1193">76.359999999999999</cx:pt>
          <cx:pt idx="1194">51.07</cx:pt>
          <cx:pt idx="1195">67.060000000000002</cx:pt>
          <cx:pt idx="1196">65.519999999999996</cx:pt>
          <cx:pt idx="1197">66.450000000000003</cx:pt>
          <cx:pt idx="1198">58.009999999999998</cx:pt>
          <cx:pt idx="1199">80.780000000000001</cx:pt>
          <cx:pt idx="1200">64.010000000000005</cx:pt>
          <cx:pt idx="1201">99.980000000000004</cx:pt>
          <cx:pt idx="1202">89.129999999999995</cx:pt>
          <cx:pt idx="1203">85.310000000000002</cx:pt>
          <cx:pt idx="1204">72.209999999999994</cx:pt>
          <cx:pt idx="1205">85.640000000000001</cx:pt>
          <cx:pt idx="1206">54.07</cx:pt>
          <cx:pt idx="1207">67.060000000000002</cx:pt>
          <cx:pt idx="1208">85.430000000000007</cx:pt>
          <cx:pt idx="1209">86.010000000000005</cx:pt>
          <cx:pt idx="1210">64.290000000000006</cx:pt>
          <cx:pt idx="1211">74.390000000000001</cx:pt>
          <cx:pt idx="1212">80.599999999999994</cx:pt>
          <cx:pt idx="1213">67.579999999999998</cx:pt>
          <cx:pt idx="1214">71.030000000000001</cx:pt>
          <cx:pt idx="1215">57.579999999999998</cx:pt>
          <cx:pt idx="1216">72.099999999999994</cx:pt>
          <cx:pt idx="1217">79.640000000000001</cx:pt>
          <cx:pt idx="1218">72.730000000000004</cx:pt>
          <cx:pt idx="1219">54.640000000000001</cx:pt>
          <cx:pt idx="1220">85.349999999999994</cx:pt>
          <cx:pt idx="1221">99.620000000000005</cx:pt>
          <cx:pt idx="1222">68.099999999999994</cx:pt>
          <cx:pt idx="1223">91.25</cx:pt>
          <cx:pt idx="1224">62.729999999999997</cx:pt>
          <cx:pt idx="1225">93.659999999999997</cx:pt>
          <cx:pt idx="1226">93.439999999999998</cx:pt>
          <cx:pt idx="1227">99.920000000000002</cx:pt>
          <cx:pt idx="1228">66.340000000000003</cx:pt>
          <cx:pt idx="1229">60.619999999999997</cx:pt>
          <cx:pt idx="1230">91.359999999999999</cx:pt>
          <cx:pt idx="1231">72.719999999999999</cx:pt>
          <cx:pt idx="1232">54.700000000000003</cx:pt>
          <cx:pt idx="1233">80.230000000000004</cx:pt>
          <cx:pt idx="1234">92.760000000000005</cx:pt>
          <cx:pt idx="1235">82.030000000000001</cx:pt>
          <cx:pt idx="1236">76.890000000000001</cx:pt>
          <cx:pt idx="1237">72.989999999999995</cx:pt>
          <cx:pt idx="1238">70.700000000000003</cx:pt>
          <cx:pt idx="1239">50.390000000000001</cx:pt>
          <cx:pt idx="1240">99.659999999999997</cx:pt>
          <cx:pt idx="1241">86.379999999999995</cx:pt>
          <cx:pt idx="1242">55.170000000000002</cx:pt>
          <cx:pt idx="1243">99.980000000000004</cx:pt>
          <cx:pt idx="1244">66.510000000000005</cx:pt>
          <cx:pt idx="1245">51.659999999999997</cx:pt>
          <cx:pt idx="1246">84.090000000000003</cx:pt>
          <cx:pt idx="1247">58.689999999999998</cx:pt>
          <cx:pt idx="1248">72.219999999999999</cx:pt>
          <cx:pt idx="1249">70.879999999999995</cx:pt>
          <cx:pt idx="1250">92.959999999999994</cx:pt>
          <cx:pt idx="1251">84.709999999999994</cx:pt>
          <cx:pt idx="1252">69.989999999999995</cx:pt>
          <cx:pt idx="1253">50.43</cx:pt>
          <cx:pt idx="1254">73.319999999999993</cx:pt>
          <cx:pt idx="1255">66.939999999999998</cx:pt>
          <cx:pt idx="1256">99.859999999999999</cx:pt>
          <cx:pt idx="1257">71.879999999999995</cx:pt>
          <cx:pt idx="1258">98.659999999999997</cx:pt>
          <cx:pt idx="1259">91.819999999999993</cx:pt>
          <cx:pt idx="1260">62.640000000000001</cx:pt>
          <cx:pt idx="1261">63.100000000000001</cx:pt>
          <cx:pt idx="1262">82.390000000000001</cx:pt>
          <cx:pt idx="1263">78.920000000000002</cx:pt>
          <cx:pt idx="1264">97.489999999999995</cx:pt>
          <cx:pt idx="1265">51.289999999999999</cx:pt>
          <cx:pt idx="1266">81.840000000000003</cx:pt>
          <cx:pt idx="1267">80.019999999999996</cx:pt>
          <cx:pt idx="1268">55.009999999999998</cx:pt>
          <cx:pt idx="1269">78.359999999999999</cx:pt>
          <cx:pt idx="1270">86.409999999999997</cx:pt>
          <cx:pt idx="1271">74.310000000000002</cx:pt>
          <cx:pt idx="1272">99.170000000000002</cx:pt>
          <cx:pt idx="1273">75.989999999999995</cx:pt>
          <cx:pt idx="1274">95.409999999999997</cx:pt>
          <cx:pt idx="1275">85.620000000000005</cx:pt>
          <cx:pt idx="1276">55.539999999999999</cx:pt>
          <cx:pt idx="1277">59.82</cx:pt>
          <cx:pt idx="1278">94.989999999999995</cx:pt>
          <cx:pt idx="1279">89.010000000000005</cx:pt>
          <cx:pt idx="1280">90.280000000000001</cx:pt>
          <cx:pt idx="1281">53.07</cx:pt>
          <cx:pt idx="1282">78.099999999999994</cx:pt>
          <cx:pt idx="1283">71.379999999999995</cx:pt>
          <cx:pt idx="1284">67.290000000000006</cx:pt>
          <cx:pt idx="1285">73.120000000000005</cx:pt>
          <cx:pt idx="1286">73.890000000000001</cx:pt>
          <cx:pt idx="1287">72.319999999999993</cx:pt>
          <cx:pt idx="1288">55.530000000000001</cx:pt>
          <cx:pt idx="1289">89.269999999999996</cx:pt>
          <cx:pt idx="1290">62.450000000000003</cx:pt>
          <cx:pt idx="1291">91.200000000000003</cx:pt>
          <cx:pt idx="1292">83.230000000000004</cx:pt>
          <cx:pt idx="1293">54.920000000000002</cx:pt>
          <cx:pt idx="1294">59.590000000000003</cx:pt>
          <cx:pt idx="1295">57.590000000000003</cx:pt>
          <cx:pt idx="1296">55.18</cx:pt>
          <cx:pt idx="1297">82.939999999999998</cx:pt>
          <cx:pt idx="1298">98.329999999999998</cx:pt>
          <cx:pt idx="1299">76.510000000000005</cx:pt>
          <cx:pt idx="1300">83.829999999999998</cx:pt>
          <cx:pt idx="1301">91.379999999999995</cx:pt>
          <cx:pt idx="1302">59.5</cx:pt>
          <cx:pt idx="1303">85.810000000000002</cx:pt>
          <cx:pt idx="1304">56.829999999999998</cx:pt>
          <cx:pt idx="1305">50.549999999999997</cx:pt>
          <cx:pt idx="1306">99.780000000000001</cx:pt>
          <cx:pt idx="1307">78.329999999999998</cx:pt>
          <cx:pt idx="1308">65.290000000000006</cx:pt>
          <cx:pt idx="1309">72</cx:pt>
          <cx:pt idx="1310">71.939999999999998</cx:pt>
          <cx:pt idx="1311">83.849999999999994</cx:pt>
          <cx:pt idx="1312">92.519999999999996</cx:pt>
          <cx:pt idx="1313">85.599999999999994</cx:pt>
          <cx:pt idx="1314">51.43</cx:pt>
          <cx:pt idx="1315">92.109999999999999</cx:pt>
          <cx:pt idx="1316">67.819999999999993</cx:pt>
          <cx:pt idx="1317">61.340000000000003</cx:pt>
          <cx:pt idx="1318">91.120000000000005</cx:pt>
          <cx:pt idx="1319">83.739999999999995</cx:pt>
          <cx:pt idx="1320">81.560000000000002</cx:pt>
          <cx:pt idx="1321">82.969999999999999</cx:pt>
          <cx:pt idx="1322">54.18</cx:pt>
          <cx:pt idx="1323">53.32</cx:pt>
          <cx:pt idx="1324">83.310000000000002</cx:pt>
          <cx:pt idx="1325">61.969999999999999</cx:pt>
          <cx:pt idx="1326">52.259999999999998</cx:pt>
          <cx:pt idx="1327">72.200000000000003</cx:pt>
          <cx:pt idx="1328">63.740000000000002</cx:pt>
          <cx:pt idx="1329">95.700000000000003</cx:pt>
          <cx:pt idx="1330">95.670000000000002</cx:pt>
          <cx:pt idx="1331">55.939999999999998</cx:pt>
          <cx:pt idx="1332">68.569999999999993</cx:pt>
          <cx:pt idx="1333">84.390000000000001</cx:pt>
          <cx:pt idx="1334">77.430000000000007</cx:pt>
          <cx:pt idx="1335">52.759999999999998</cx:pt>
          <cx:pt idx="1336">76.019999999999996</cx:pt>
          <cx:pt idx="1337">94.609999999999999</cx:pt>
          <cx:pt idx="1338">98.920000000000002</cx:pt>
          <cx:pt idx="1339">99.870000000000005</cx:pt>
          <cx:pt idx="1340">85.400000000000006</cx:pt>
          <cx:pt idx="1341">50.170000000000002</cx:pt>
          <cx:pt idx="1342">95.099999999999994</cx:pt>
          <cx:pt idx="1343">78.260000000000005</cx:pt>
          <cx:pt idx="1344">74.400000000000006</cx:pt>
          <cx:pt idx="1345">54.009999999999998</cx:pt>
          <cx:pt idx="1346">62.810000000000002</cx:pt>
          <cx:pt idx="1347">94.739999999999995</cx:pt>
          <cx:pt idx="1348">77.030000000000001</cx:pt>
          <cx:pt idx="1349">84.75</cx:pt>
          <cx:pt idx="1350">63.119999999999997</cx:pt>
          <cx:pt idx="1351">68.560000000000002</cx:pt>
          <cx:pt idx="1352">88.719999999999999</cx:pt>
          <cx:pt idx="1353">88.319999999999993</cx:pt>
          <cx:pt idx="1354">58.719999999999999</cx:pt>
          <cx:pt idx="1355">60.689999999999998</cx:pt>
          <cx:pt idx="1356">94.879999999999995</cx:pt>
          <cx:pt idx="1357">89.680000000000007</cx:pt>
          <cx:pt idx="1358">58.700000000000003</cx:pt>
          <cx:pt idx="1359">75.400000000000006</cx:pt>
          <cx:pt idx="1360">51.240000000000002</cx:pt>
          <cx:pt idx="1361">61.350000000000001</cx:pt>
          <cx:pt idx="1362">88.930000000000007</cx:pt>
          <cx:pt idx="1363">76.989999999999995</cx:pt>
          <cx:pt idx="1364">87.010000000000005</cx:pt>
          <cx:pt idx="1365">70.599999999999994</cx:pt>
          <cx:pt idx="1366">86.799999999999997</cx:pt>
          <cx:pt idx="1367">55.390000000000001</cx:pt>
          <cx:pt idx="1368">65.480000000000004</cx:pt>
          <cx:pt idx="1369">67.239999999999995</cx:pt>
          <cx:pt idx="1370">57.399999999999999</cx:pt>
          <cx:pt idx="1371">90.549999999999997</cx:pt>
          <cx:pt idx="1372">81.069999999999993</cx:pt>
          <cx:pt idx="1373">63.659999999999997</cx:pt>
          <cx:pt idx="1374">52.890000000000001</cx:pt>
          <cx:pt idx="1375">60.770000000000003</cx:pt>
          <cx:pt idx="1376">63.649999999999999</cx:pt>
          <cx:pt idx="1377">72.329999999999998</cx:pt>
          <cx:pt idx="1378">62.689999999999998</cx:pt>
          <cx:pt idx="1379">76.719999999999999</cx:pt>
          <cx:pt idx="1380">75.040000000000006</cx:pt>
          <cx:pt idx="1381">72.329999999999998</cx:pt>
          <cx:pt idx="1382">76.109999999999999</cx:pt>
          <cx:pt idx="1383">84.719999999999999</cx:pt>
          <cx:pt idx="1384">68.230000000000004</cx:pt>
          <cx:pt idx="1385">73.599999999999994</cx:pt>
          <cx:pt idx="1386">67.079999999999998</cx:pt>
          <cx:pt idx="1387">99.579999999999998</cx:pt>
          <cx:pt idx="1388">63.329999999999998</cx:pt>
          <cx:pt idx="1389">86.620000000000005</cx:pt>
          <cx:pt idx="1390">59.619999999999997</cx:pt>
          <cx:pt idx="1391">72.900000000000006</cx:pt>
          <cx:pt idx="1392">57.390000000000001</cx:pt>
          <cx:pt idx="1393">95.359999999999999</cx:pt>
          <cx:pt idx="1394">57.780000000000001</cx:pt>
          <cx:pt idx="1395">90.260000000000005</cx:pt>
          <cx:pt idx="1396">76.370000000000005</cx:pt>
          <cx:pt idx="1397">52.719999999999999</cx:pt>
          <cx:pt idx="1398">55.770000000000003</cx:pt>
          <cx:pt idx="1399">97.280000000000001</cx:pt>
          <cx:pt idx="1400">89.920000000000002</cx:pt>
          <cx:pt idx="1401">54.5</cx:pt>
          <cx:pt idx="1402">99.349999999999994</cx:pt>
          <cx:pt idx="1403">85.430000000000007</cx:pt>
          <cx:pt idx="1404">81.459999999999994</cx:pt>
          <cx:pt idx="1405">83.980000000000004</cx:pt>
          <cx:pt idx="1406">56.030000000000001</cx:pt>
          <cx:pt idx="1407">72.079999999999998</cx:pt>
          <cx:pt idx="1408">82.140000000000001</cx:pt>
          <cx:pt idx="1409">63.030000000000001</cx:pt>
          <cx:pt idx="1410">87.829999999999998</cx:pt>
          <cx:pt idx="1411">62.439999999999998</cx:pt>
          <cx:pt idx="1412">99.159999999999997</cx:pt>
          <cx:pt idx="1413">75.670000000000002</cx:pt>
          <cx:pt idx="1414">89.040000000000006</cx:pt>
          <cx:pt idx="1415">66.900000000000006</cx:pt>
          <cx:pt idx="1416">77.709999999999994</cx:pt>
          <cx:pt idx="1417">91.510000000000005</cx:pt>
          <cx:pt idx="1418">79.329999999999998</cx:pt>
          <cx:pt idx="1419">89.549999999999997</cx:pt>
          <cx:pt idx="1420">53.719999999999999</cx:pt>
          <cx:pt idx="1421">61.780000000000001</cx:pt>
          <cx:pt idx="1422">70.109999999999999</cx:pt>
          <cx:pt idx="1423">90.359999999999999</cx:pt>
          <cx:pt idx="1424">98.239999999999995</cx:pt>
          <cx:pt idx="1425">97.530000000000001</cx:pt>
          <cx:pt idx="1426">60.439999999999998</cx:pt>
          <cx:pt idx="1427">75.769999999999996</cx:pt>
          <cx:pt idx="1428">79.620000000000005</cx:pt>
          <cx:pt idx="1429">91.409999999999997</cx:pt>
          <cx:pt idx="1430">99.5</cx:pt>
          <cx:pt idx="1431">75.049999999999997</cx:pt>
          <cx:pt idx="1432">62.729999999999997</cx:pt>
          <cx:pt idx="1433">50.960000000000001</cx:pt>
          <cx:pt idx="1434">88.049999999999997</cx:pt>
          <cx:pt idx="1435">69.390000000000001</cx:pt>
          <cx:pt idx="1436">85.170000000000002</cx:pt>
          <cx:pt idx="1437">77.420000000000002</cx:pt>
          <cx:pt idx="1438">68.409999999999997</cx:pt>
          <cx:pt idx="1439">89.900000000000006</cx:pt>
          <cx:pt idx="1440">55.32</cx:pt>
          <cx:pt idx="1441">82.069999999999993</cx:pt>
          <cx:pt idx="1442">88.790000000000006</cx:pt>
          <cx:pt idx="1443">95.409999999999997</cx:pt>
          <cx:pt idx="1444">75.450000000000003</cx:pt>
          <cx:pt idx="1445">94.349999999999994</cx:pt>
          <cx:pt idx="1446">54.229999999999997</cx:pt>
          <cx:pt idx="1447">62</cx:pt>
          <cx:pt idx="1448">79.680000000000007</cx:pt>
          <cx:pt idx="1449">61.159999999999997</cx:pt>
          <cx:pt idx="1450">61.909999999999997</cx:pt>
          <cx:pt idx="1451">80.200000000000003</cx:pt>
          <cx:pt idx="1452">66.370000000000005</cx:pt>
          <cx:pt idx="1453">68.090000000000003</cx:pt>
          <cx:pt idx="1454">72.579999999999998</cx:pt>
          <cx:pt idx="1455">53.369999999999997</cx:pt>
          <cx:pt idx="1456">91.719999999999999</cx:pt>
          <cx:pt idx="1457">64.430000000000007</cx:pt>
          <cx:pt idx="1458">61.880000000000003</cx:pt>
          <cx:pt idx="1459">76.819999999999993</cx:pt>
          <cx:pt idx="1460">62.759999999999998</cx:pt>
          <cx:pt idx="1461">72.370000000000005</cx:pt>
          <cx:pt idx="1462">71.129999999999995</cx:pt>
          <cx:pt idx="1463">98.959999999999994</cx:pt>
          <cx:pt idx="1464">80.379999999999995</cx:pt>
          <cx:pt idx="1465">61.700000000000003</cx:pt>
          <cx:pt idx="1466">60.310000000000002</cx:pt>
          <cx:pt idx="1467">50.380000000000003</cx:pt>
          <cx:pt idx="1468">98.480000000000004</cx:pt>
          <cx:pt idx="1469">91.340000000000003</cx:pt>
          <cx:pt idx="1470">98.079999999999998</cx:pt>
          <cx:pt idx="1471">59.649999999999999</cx:pt>
          <cx:pt idx="1472">89.219999999999999</cx:pt>
          <cx:pt idx="1473">51.549999999999997</cx:pt>
          <cx:pt idx="1474">59.329999999999998</cx:pt>
          <cx:pt idx="1475">96.400000000000006</cx:pt>
          <cx:pt idx="1476">99.010000000000005</cx:pt>
          <cx:pt idx="1477">73.709999999999994</cx:pt>
          <cx:pt idx="1478">54.600000000000001</cx:pt>
          <cx:pt idx="1479">83.189999999999998</cx:pt>
          <cx:pt idx="1480">55.079999999999998</cx:pt>
          <cx:pt idx="1481">61.270000000000003</cx:pt>
          <cx:pt idx="1482">95.010000000000005</cx:pt>
          <cx:pt idx="1483">58.020000000000003</cx:pt>
          <cx:pt idx="1484">95.670000000000002</cx:pt>
          <cx:pt idx="1485">66.420000000000002</cx:pt>
          <cx:pt idx="1486">61.479999999999997</cx:pt>
          <cx:pt idx="1487">64.530000000000001</cx:pt>
          <cx:pt idx="1488">53.880000000000003</cx:pt>
          <cx:pt idx="1489">54.079999999999998</cx:pt>
          <cx:pt idx="1490">51.170000000000002</cx:pt>
          <cx:pt idx="1491">97.810000000000002</cx:pt>
          <cx:pt idx="1492">78.120000000000005</cx:pt>
          <cx:pt idx="1493">53.359999999999999</cx:pt>
          <cx:pt idx="1494">74.010000000000005</cx:pt>
          <cx:pt idx="1495">66.310000000000002</cx:pt>
          <cx:pt idx="1496">72.019999999999996</cx:pt>
          <cx:pt idx="1497">59.859999999999999</cx:pt>
          <cx:pt idx="1498">91.040000000000006</cx:pt>
          <cx:pt idx="1499">80.299999999999997</cx:pt>
          <cx:pt idx="1500">89.439999999999998</cx:pt>
          <cx:pt idx="1501">81.480000000000004</cx:pt>
          <cx:pt idx="1502">50.710000000000001</cx:pt>
          <cx:pt idx="1503">61.119999999999997</cx:pt>
          <cx:pt idx="1504">62.850000000000001</cx:pt>
          <cx:pt idx="1505">96.319999999999993</cx:pt>
          <cx:pt idx="1506">53.909999999999997</cx:pt>
          <cx:pt idx="1507">52.43</cx:pt>
          <cx:pt idx="1508">76.680000000000007</cx:pt>
          <cx:pt idx="1509">84.620000000000005</cx:pt>
          <cx:pt idx="1510">78.950000000000003</cx:pt>
          <cx:pt idx="1511">89.959999999999994</cx:pt>
          <cx:pt idx="1512">72.840000000000003</cx:pt>
          <cx:pt idx="1513">96.659999999999997</cx:pt>
          <cx:pt idx="1514">99.280000000000001</cx:pt>
          <cx:pt idx="1515">72.129999999999995</cx:pt>
          <cx:pt idx="1516">73.140000000000001</cx:pt>
          <cx:pt idx="1517">65.409999999999997</cx:pt>
          <cx:pt idx="1518">66.730000000000004</cx:pt>
          <cx:pt idx="1519">90.939999999999998</cx:pt>
          <cx:pt idx="1520">65.790000000000006</cx:pt>
          <cx:pt idx="1521">55.25</cx:pt>
          <cx:pt idx="1522">87.569999999999993</cx:pt>
          <cx:pt idx="1523">53.969999999999999</cx:pt>
          <cx:pt idx="1524">75.200000000000003</cx:pt>
          <cx:pt idx="1525">64.760000000000005</cx:pt>
          <cx:pt idx="1526">66.900000000000006</cx:pt>
          <cx:pt idx="1527">82.25</cx:pt>
          <cx:pt idx="1528">74.859999999999999</cx:pt>
          <cx:pt idx="1529">98</cx:pt>
          <cx:pt idx="1530">55.719999999999999</cx:pt>
          <cx:pt idx="1531">78.069999999999993</cx:pt>
          <cx:pt idx="1532">79.730000000000004</cx:pt>
          <cx:pt idx="1533">55.950000000000003</cx:pt>
          <cx:pt idx="1534">69.099999999999994</cx:pt>
          <cx:pt idx="1535">93.829999999999998</cx:pt>
          <cx:pt idx="1536">64.920000000000002</cx:pt>
          <cx:pt idx="1537">75.060000000000002</cx:pt>
          <cx:pt idx="1538">58.479999999999997</cx:pt>
          <cx:pt idx="1539">51.659999999999997</cx:pt>
          <cx:pt idx="1540">95.829999999999998</cx:pt>
          <cx:pt idx="1541">63.420000000000002</cx:pt>
          <cx:pt idx="1542">77.670000000000002</cx:pt>
          <cx:pt idx="1543">54.289999999999999</cx:pt>
          <cx:pt idx="1544">60.479999999999997</cx:pt>
          <cx:pt idx="1545">77.129999999999995</cx:pt>
          <cx:pt idx="1546">81.769999999999996</cx:pt>
          <cx:pt idx="1547">50.729999999999997</cx:pt>
          <cx:pt idx="1548">89.170000000000002</cx:pt>
          <cx:pt idx="1549">74.120000000000005</cx:pt>
          <cx:pt idx="1550">72.5</cx:pt>
          <cx:pt idx="1551">69.780000000000001</cx:pt>
          <cx:pt idx="1552">89.159999999999997</cx:pt>
          <cx:pt idx="1553">76.219999999999999</cx:pt>
          <cx:pt idx="1554">74.310000000000002</cx:pt>
          <cx:pt idx="1555">84.359999999999999</cx:pt>
          <cx:pt idx="1556">70.620000000000005</cx:pt>
          <cx:pt idx="1557">60.890000000000001</cx:pt>
          <cx:pt idx="1558">98.480000000000004</cx:pt>
          <cx:pt idx="1559">80.810000000000002</cx:pt>
          <cx:pt idx="1560">85.819999999999993</cx:pt>
          <cx:pt idx="1561">91.640000000000001</cx:pt>
          <cx:pt idx="1562">94.819999999999993</cx:pt>
          <cx:pt idx="1563">81.069999999999993</cx:pt>
          <cx:pt idx="1564">92.400000000000006</cx:pt>
          <cx:pt idx="1565">69.290000000000006</cx:pt>
          <cx:pt idx="1566">93.459999999999994</cx:pt>
          <cx:pt idx="1567">83.670000000000002</cx:pt>
          <cx:pt idx="1568">74.689999999999998</cx:pt>
          <cx:pt idx="1569">72.980000000000004</cx:pt>
          <cx:pt idx="1570">50.530000000000001</cx:pt>
          <cx:pt idx="1571">72.239999999999995</cx:pt>
          <cx:pt idx="1572">69.700000000000003</cx:pt>
          <cx:pt idx="1573">82.079999999999998</cx:pt>
          <cx:pt idx="1574">82.780000000000001</cx:pt>
          <cx:pt idx="1575">87.209999999999994</cx:pt>
          <cx:pt idx="1576">65.390000000000001</cx:pt>
          <cx:pt idx="1577">71.879999999999995</cx:pt>
          <cx:pt idx="1578">69.450000000000003</cx:pt>
          <cx:pt idx="1579">63.119999999999997</cx:pt>
          <cx:pt idx="1580">83.909999999999997</cx:pt>
          <cx:pt idx="1581">62.109999999999999</cx:pt>
          <cx:pt idx="1582">91.420000000000002</cx:pt>
          <cx:pt idx="1583">92.340000000000003</cx:pt>
          <cx:pt idx="1584">66.540000000000006</cx:pt>
          <cx:pt idx="1585">64.010000000000005</cx:pt>
          <cx:pt idx="1586">86.969999999999999</cx:pt>
          <cx:pt idx="1587">50.979999999999997</cx:pt>
          <cx:pt idx="1588">96.540000000000006</cx:pt>
          <cx:pt idx="1589">99.969999999999999</cx:pt>
          <cx:pt idx="1590">99.409999999999997</cx:pt>
          <cx:pt idx="1591">98</cx:pt>
          <cx:pt idx="1592">95.709999999999994</cx:pt>
          <cx:pt idx="1593">98.290000000000006</cx:pt>
          <cx:pt idx="1594">85.140000000000001</cx:pt>
          <cx:pt idx="1595">65.900000000000006</cx:pt>
          <cx:pt idx="1596">65.129999999999995</cx:pt>
          <cx:pt idx="1597">50.409999999999997</cx:pt>
          <cx:pt idx="1598">69.840000000000003</cx:pt>
          <cx:pt idx="1599">57.490000000000002</cx:pt>
          <cx:pt idx="1600">93.810000000000002</cx:pt>
          <cx:pt idx="1601">82.340000000000003</cx:pt>
          <cx:pt idx="1602">79.859999999999999</cx:pt>
          <cx:pt idx="1603">90.129999999999995</cx:pt>
          <cx:pt idx="1604">61.359999999999999</cx:pt>
          <cx:pt idx="1605">95.340000000000003</cx:pt>
          <cx:pt idx="1606">62.920000000000002</cx:pt>
          <cx:pt idx="1607">97.230000000000004</cx:pt>
          <cx:pt idx="1608">98.170000000000002</cx:pt>
          <cx:pt idx="1609">91.530000000000001</cx:pt>
          <cx:pt idx="1610">86.969999999999999</cx:pt>
          <cx:pt idx="1611">63.130000000000003</cx:pt>
          <cx:pt idx="1612">93.430000000000007</cx:pt>
          <cx:pt idx="1613">63.780000000000001</cx:pt>
          <cx:pt idx="1614">83.569999999999993</cx:pt>
          <cx:pt idx="1615">76.329999999999998</cx:pt>
          <cx:pt idx="1616">80.659999999999997</cx:pt>
          <cx:pt idx="1617">80.299999999999997</cx:pt>
          <cx:pt idx="1618">69.269999999999996</cx:pt>
          <cx:pt idx="1619">84.5</cx:pt>
          <cx:pt idx="1620">88.730000000000004</cx:pt>
          <cx:pt idx="1621">81.989999999999995</cx:pt>
          <cx:pt idx="1622">97.290000000000006</cx:pt>
          <cx:pt idx="1623">58.170000000000002</cx:pt>
          <cx:pt idx="1624">95.640000000000001</cx:pt>
          <cx:pt idx="1625">77.290000000000006</cx:pt>
          <cx:pt idx="1626">81.640000000000001</cx:pt>
          <cx:pt idx="1627">77.549999999999997</cx:pt>
          <cx:pt idx="1628">56.710000000000001</cx:pt>
          <cx:pt idx="1629">85.159999999999997</cx:pt>
          <cx:pt idx="1630">86.879999999999995</cx:pt>
          <cx:pt idx="1631">92.239999999999995</cx:pt>
          <cx:pt idx="1632">68.340000000000003</cx:pt>
          <cx:pt idx="1633">53.109999999999999</cx:pt>
          <cx:pt idx="1634">80.760000000000005</cx:pt>
          <cx:pt idx="1635">51.030000000000001</cx:pt>
          <cx:pt idx="1636">97.030000000000001</cx:pt>
          <cx:pt idx="1637">50.090000000000003</cx:pt>
          <cx:pt idx="1638">84.400000000000006</cx:pt>
          <cx:pt idx="1639">82.829999999999998</cx:pt>
          <cx:pt idx="1640">54.509999999999998</cx:pt>
          <cx:pt idx="1641">77.480000000000004</cx:pt>
          <cx:pt idx="1642">73.819999999999993</cx:pt>
          <cx:pt idx="1643">60.520000000000003</cx:pt>
          <cx:pt idx="1644">94.359999999999999</cx:pt>
          <cx:pt idx="1645">85.489999999999995</cx:pt>
          <cx:pt idx="1646">74.239999999999995</cx:pt>
          <cx:pt idx="1647">89.909999999999997</cx:pt>
          <cx:pt idx="1648">66.010000000000005</cx:pt>
          <cx:pt idx="1649">78.890000000000001</cx:pt>
          <cx:pt idx="1650">62.859999999999999</cx:pt>
          <cx:pt idx="1651">92.760000000000005</cx:pt>
          <cx:pt idx="1652">89.209999999999994</cx:pt>
          <cx:pt idx="1653">59.93</cx:pt>
          <cx:pt idx="1654">86.879999999999995</cx:pt>
          <cx:pt idx="1655">50.969999999999999</cx:pt>
          <cx:pt idx="1656">96.049999999999997</cx:pt>
          <cx:pt idx="1657">67.489999999999995</cx:pt>
          <cx:pt idx="1658">75.689999999999998</cx:pt>
          <cx:pt idx="1659">80.420000000000002</cx:pt>
          <cx:pt idx="1660">77.069999999999993</cx:pt>
          <cx:pt idx="1661">62.82</cx:pt>
          <cx:pt idx="1662">59.890000000000001</cx:pt>
          <cx:pt idx="1663">73.099999999999994</cx:pt>
          <cx:pt idx="1664">99.609999999999999</cx:pt>
          <cx:pt idx="1665">86.569999999999993</cx:pt>
          <cx:pt idx="1666">65.459999999999994</cx:pt>
          <cx:pt idx="1667">81.670000000000002</cx:pt>
          <cx:pt idx="1668">71.769999999999996</cx:pt>
          <cx:pt idx="1669">89.629999999999995</cx:pt>
          <cx:pt idx="1670">75.959999999999994</cx:pt>
          <cx:pt idx="1671">82.359999999999999</cx:pt>
          <cx:pt idx="1672">95.540000000000006</cx:pt>
          <cx:pt idx="1673">67.450000000000003</cx:pt>
          <cx:pt idx="1674">76.030000000000001</cx:pt>
          <cx:pt idx="1675">64.75</cx:pt>
          <cx:pt idx="1676">80.159999999999997</cx:pt>
          <cx:pt idx="1677">93.540000000000006</cx:pt>
          <cx:pt idx="1678">63.119999999999997</cx:pt>
          <cx:pt idx="1679">99.890000000000001</cx:pt>
          <cx:pt idx="1680">56.770000000000003</cx:pt>
          <cx:pt idx="1681">59.210000000000001</cx:pt>
          <cx:pt idx="1682">75.25</cx:pt>
          <cx:pt idx="1683">82.370000000000005</cx:pt>
          <cx:pt idx="1684">84.930000000000007</cx:pt>
          <cx:pt idx="1685">89.129999999999995</cx:pt>
          <cx:pt idx="1686">84.930000000000007</cx:pt>
          <cx:pt idx="1687">83.859999999999999</cx:pt>
          <cx:pt idx="1688">72.829999999999998</cx:pt>
          <cx:pt idx="1689">69.379999999999995</cx:pt>
          <cx:pt idx="1690">97.859999999999999</cx:pt>
          <cx:pt idx="1691">66.530000000000001</cx:pt>
          <cx:pt idx="1692">79.439999999999998</cx:pt>
          <cx:pt idx="1693">51.829999999999998</cx:pt>
          <cx:pt idx="1694">75.219999999999999</cx:pt>
          <cx:pt idx="1695">98.280000000000001</cx:pt>
          <cx:pt idx="1696">85.409999999999997</cx:pt>
          <cx:pt idx="1697">89.060000000000002</cx:pt>
          <cx:pt idx="1698">59.859999999999999</cx:pt>
          <cx:pt idx="1699">87.040000000000006</cx:pt>
          <cx:pt idx="1700">59.740000000000002</cx:pt>
          <cx:pt idx="1701">82.409999999999997</cx:pt>
          <cx:pt idx="1702">93.650000000000006</cx:pt>
          <cx:pt idx="1703">77.530000000000001</cx:pt>
          <cx:pt idx="1704">80.090000000000003</cx:pt>
          <cx:pt idx="1705">86.319999999999993</cx:pt>
          <cx:pt idx="1706">98.590000000000003</cx:pt>
          <cx:pt idx="1707">79.640000000000001</cx:pt>
          <cx:pt idx="1708">84.129999999999995</cx:pt>
          <cx:pt idx="1709">81.810000000000002</cx:pt>
          <cx:pt idx="1710">82.129999999999995</cx:pt>
          <cx:pt idx="1711">73.5</cx:pt>
          <cx:pt idx="1712">83.239999999999995</cx:pt>
          <cx:pt idx="1713">73.969999999999999</cx:pt>
          <cx:pt idx="1714">92.200000000000003</cx:pt>
          <cx:pt idx="1715">67.75</cx:pt>
          <cx:pt idx="1716">77.629999999999995</cx:pt>
          <cx:pt idx="1717">68.219999999999999</cx:pt>
          <cx:pt idx="1718">89.700000000000003</cx:pt>
          <cx:pt idx="1719">50.5</cx:pt>
          <cx:pt idx="1720">89.969999999999999</cx:pt>
          <cx:pt idx="1721">50.090000000000003</cx:pt>
          <cx:pt idx="1722">89.129999999999995</cx:pt>
          <cx:pt idx="1723">69.819999999999993</cx:pt>
          <cx:pt idx="1724">69.909999999999997</cx:pt>
          <cx:pt idx="1725">76.989999999999995</cx:pt>
          <cx:pt idx="1726">78.019999999999996</cx:pt>
          <cx:pt idx="1727">94.760000000000005</cx:pt>
          <cx:pt idx="1728">70.329999999999998</cx:pt>
          <cx:pt idx="1729">62.789999999999999</cx:pt>
          <cx:pt idx="1730">95.650000000000006</cx:pt>
          <cx:pt idx="1731">68.049999999999997</cx:pt>
          <cx:pt idx="1732">81.890000000000001</cx:pt>
          <cx:pt idx="1733">95.609999999999999</cx:pt>
          <cx:pt idx="1734">68.700000000000003</cx:pt>
          <cx:pt idx="1735">60.289999999999999</cx:pt>
          <cx:pt idx="1736">81.269999999999996</cx:pt>
          <cx:pt idx="1737">86.040000000000006</cx:pt>
          <cx:pt idx="1738">73.829999999999998</cx:pt>
          <cx:pt idx="1739">63.899999999999999</cx:pt>
          <cx:pt idx="1740">61.490000000000002</cx:pt>
          <cx:pt idx="1741">61.280000000000001</cx:pt>
          <cx:pt idx="1742">75.859999999999999</cx:pt>
          <cx:pt idx="1743">77.099999999999994</cx:pt>
          <cx:pt idx="1744">66.019999999999996</cx:pt>
          <cx:pt idx="1745">51.560000000000002</cx:pt>
          <cx:pt idx="1746">97.599999999999994</cx:pt>
          <cx:pt idx="1747">92.700000000000003</cx:pt>
          <cx:pt idx="1748">76.439999999999998</cx:pt>
          <cx:pt idx="1749">71.629999999999995</cx:pt>
          <cx:pt idx="1750">92.469999999999999</cx:pt>
          <cx:pt idx="1751">90.459999999999994</cx:pt>
          <cx:pt idx="1752">83.019999999999996</cx:pt>
          <cx:pt idx="1753">74.319999999999993</cx:pt>
          <cx:pt idx="1754">68.049999999999997</cx:pt>
          <cx:pt idx="1755">85.010000000000005</cx:pt>
          <cx:pt idx="1756">96.859999999999999</cx:pt>
          <cx:pt idx="1757">96.180000000000007</cx:pt>
          <cx:pt idx="1758">87.599999999999994</cx:pt>
          <cx:pt idx="1759">85.170000000000002</cx:pt>
          <cx:pt idx="1760">81.819999999999993</cx:pt>
          <cx:pt idx="1761">64.450000000000003</cx:pt>
          <cx:pt idx="1762">65.290000000000006</cx:pt>
          <cx:pt idx="1763">50.780000000000001</cx:pt>
          <cx:pt idx="1764">87.480000000000004</cx:pt>
          <cx:pt idx="1765">73.069999999999993</cx:pt>
          <cx:pt idx="1766">95.819999999999993</cx:pt>
          <cx:pt idx="1767">92.409999999999997</cx:pt>
          <cx:pt idx="1768">85.379999999999995</cx:pt>
          <cx:pt idx="1769">85.189999999999998</cx:pt>
          <cx:pt idx="1770">71.819999999999993</cx:pt>
          <cx:pt idx="1771">85.670000000000002</cx:pt>
          <cx:pt idx="1772">55.380000000000003</cx:pt>
          <cx:pt idx="1773">92.519999999999996</cx:pt>
          <cx:pt idx="1774">95.069999999999993</cx:pt>
          <cx:pt idx="1775">84.900000000000006</cx:pt>
          <cx:pt idx="1776">60.039999999999999</cx:pt>
          <cx:pt idx="1777">58.990000000000002</cx:pt>
          <cx:pt idx="1778">82.109999999999999</cx:pt>
          <cx:pt idx="1779">84.260000000000005</cx:pt>
          <cx:pt idx="1780">94.480000000000004</cx:pt>
          <cx:pt idx="1781">50.890000000000001</cx:pt>
          <cx:pt idx="1782">96.799999999999997</cx:pt>
          <cx:pt idx="1783">77.950000000000003</cx:pt>
          <cx:pt idx="1784">77.629999999999995</cx:pt>
          <cx:pt idx="1785">84.439999999999998</cx:pt>
          <cx:pt idx="1786">87.819999999999993</cx:pt>
          <cx:pt idx="1787">72.709999999999994</cx:pt>
          <cx:pt idx="1788">76.890000000000001</cx:pt>
          <cx:pt idx="1789">75.359999999999999</cx:pt>
          <cx:pt idx="1790">52.619999999999997</cx:pt>
          <cx:pt idx="1791">82.260000000000005</cx:pt>
          <cx:pt idx="1792">94.280000000000001</cx:pt>
          <cx:pt idx="1793">83.319999999999993</cx:pt>
          <cx:pt idx="1794">82.75</cx:pt>
          <cx:pt idx="1795">76.430000000000007</cx:pt>
          <cx:pt idx="1796">72.780000000000001</cx:pt>
          <cx:pt idx="1797">67.379999999999995</cx:pt>
          <cx:pt idx="1798">85.719999999999999</cx:pt>
          <cx:pt idx="1799">79.049999999999997</cx:pt>
          <cx:pt idx="1800">86.129999999999995</cx:pt>
          <cx:pt idx="1801">51.25</cx:pt>
          <cx:pt idx="1802">60.659999999999997</cx:pt>
          <cx:pt idx="1803">85.099999999999994</cx:pt>
          <cx:pt idx="1804">55.82</cx:pt>
          <cx:pt idx="1805">71.459999999999994</cx:pt>
          <cx:pt idx="1806">68.299999999999997</cx:pt>
          <cx:pt idx="1807">72.689999999999998</cx:pt>
          <cx:pt idx="1808">98</cx:pt>
          <cx:pt idx="1809">90.920000000000002</cx:pt>
          <cx:pt idx="1810">66.659999999999997</cx:pt>
          <cx:pt idx="1811">60.109999999999999</cx:pt>
          <cx:pt idx="1812">51.270000000000003</cx:pt>
          <cx:pt idx="1813">74.310000000000002</cx:pt>
          <cx:pt idx="1814">80.329999999999998</cx:pt>
          <cx:pt idx="1815">70.879999999999995</cx:pt>
          <cx:pt idx="1816">87.530000000000001</cx:pt>
          <cx:pt idx="1817">80.040000000000006</cx:pt>
          <cx:pt idx="1818">63.420000000000002</cx:pt>
          <cx:pt idx="1819">73.730000000000004</cx:pt>
          <cx:pt idx="1820">71.829999999999998</cx:pt>
          <cx:pt idx="1821">70.650000000000006</cx:pt>
          <cx:pt idx="1822">66.969999999999999</cx:pt>
          <cx:pt idx="1823">61.350000000000001</cx:pt>
          <cx:pt idx="1824">98.569999999999993</cx:pt>
          <cx:pt idx="1825">60.210000000000001</cx:pt>
          <cx:pt idx="1826">73.030000000000001</cx:pt>
          <cx:pt idx="1827">90.939999999999998</cx:pt>
          <cx:pt idx="1828">85.239999999999995</cx:pt>
          <cx:pt idx="1829">58.57</cx:pt>
          <cx:pt idx="1830">55.259999999999998</cx:pt>
          <cx:pt idx="1831">53.219999999999999</cx:pt>
          <cx:pt idx="1832">75.599999999999994</cx:pt>
          <cx:pt idx="1833">50.899999999999999</cx:pt>
          <cx:pt idx="1834">78.140000000000001</cx:pt>
          <cx:pt idx="1835">72.260000000000005</cx:pt>
          <cx:pt idx="1836">52.920000000000002</cx:pt>
          <cx:pt idx="1837">87.650000000000006</cx:pt>
          <cx:pt idx="1838">97.040000000000006</cx:pt>
          <cx:pt idx="1839">81.590000000000003</cx:pt>
          <cx:pt idx="1840">89.700000000000003</cx:pt>
          <cx:pt idx="1841">90.319999999999993</cx:pt>
          <cx:pt idx="1842">58.560000000000002</cx:pt>
          <cx:pt idx="1843">99.069999999999993</cx:pt>
          <cx:pt idx="1844">96.319999999999993</cx:pt>
          <cx:pt idx="1845">83.579999999999998</cx:pt>
          <cx:pt idx="1846">84.530000000000001</cx:pt>
          <cx:pt idx="1847">97.269999999999996</cx:pt>
          <cx:pt idx="1848">63.240000000000002</cx:pt>
          <cx:pt idx="1849">56.149999999999999</cx:pt>
          <cx:pt idx="1850">98.980000000000004</cx:pt>
          <cx:pt idx="1851">64.859999999999999</cx:pt>
          <cx:pt idx="1852">91.329999999999998</cx:pt>
          <cx:pt idx="1853">63.700000000000003</cx:pt>
          <cx:pt idx="1854">82.180000000000007</cx:pt>
          <cx:pt idx="1855">76.620000000000005</cx:pt>
          <cx:pt idx="1856">63.509999999999998</cx:pt>
          <cx:pt idx="1857">63.079999999999998</cx:pt>
          <cx:pt idx="1858">93.239999999999995</cx:pt>
          <cx:pt idx="1859">58</cx:pt>
          <cx:pt idx="1860">65.730000000000004</cx:pt>
          <cx:pt idx="1861">81.480000000000004</cx:pt>
          <cx:pt idx="1862">97.689999999999998</cx:pt>
          <cx:pt idx="1863">53.369999999999997</cx:pt>
          <cx:pt idx="1864">87.989999999999995</cx:pt>
          <cx:pt idx="1865">69.120000000000005</cx:pt>
          <cx:pt idx="1866">83.640000000000001</cx:pt>
          <cx:pt idx="1867">97.060000000000002</cx:pt>
          <cx:pt idx="1868">95.400000000000006</cx:pt>
          <cx:pt idx="1869">79.480000000000004</cx:pt>
          <cx:pt idx="1870">75.170000000000002</cx:pt>
          <cx:pt idx="1871">96.950000000000003</cx:pt>
          <cx:pt idx="1872">99.859999999999999</cx:pt>
          <cx:pt idx="1873">56.619999999999997</cx:pt>
          <cx:pt idx="1874">59.780000000000001</cx:pt>
          <cx:pt idx="1875">87.109999999999999</cx:pt>
          <cx:pt idx="1876">86.329999999999998</cx:pt>
          <cx:pt idx="1877">81.140000000000001</cx:pt>
          <cx:pt idx="1878">78.030000000000001</cx:pt>
          <cx:pt idx="1879">76.510000000000005</cx:pt>
          <cx:pt idx="1880">57.5</cx:pt>
          <cx:pt idx="1881">60.880000000000003</cx:pt>
          <cx:pt idx="1882">87.219999999999999</cx:pt>
          <cx:pt idx="1883">85.560000000000002</cx:pt>
          <cx:pt idx="1884">65.560000000000002</cx:pt>
          <cx:pt idx="1885">73.019999999999996</cx:pt>
          <cx:pt idx="1886">67.140000000000001</cx:pt>
          <cx:pt idx="1887">88.640000000000001</cx:pt>
          <cx:pt idx="1888">61.810000000000002</cx:pt>
          <cx:pt idx="1889">86.439999999999998</cx:pt>
          <cx:pt idx="1890">92.900000000000006</cx:pt>
          <cx:pt idx="1891">62.689999999999998</cx:pt>
          <cx:pt idx="1892">70.930000000000007</cx:pt>
          <cx:pt idx="1893">69.459999999999994</cx:pt>
          <cx:pt idx="1894">83.150000000000006</cx:pt>
          <cx:pt idx="1895">92.540000000000006</cx:pt>
          <cx:pt idx="1896">93.159999999999997</cx:pt>
          <cx:pt idx="1897">83.769999999999996</cx:pt>
          <cx:pt idx="1898">56.880000000000003</cx:pt>
          <cx:pt idx="1899">68.590000000000003</cx:pt>
          <cx:pt idx="1900">77.829999999999998</cx:pt>
          <cx:pt idx="1901">92.030000000000001</cx:pt>
          <cx:pt idx="1902">92.900000000000006</cx:pt>
          <cx:pt idx="1903">67.219999999999999</cx:pt>
          <cx:pt idx="1904">78.609999999999999</cx:pt>
          <cx:pt idx="1905">58.439999999999998</cx:pt>
          <cx:pt idx="1906">58.979999999999997</cx:pt>
          <cx:pt idx="1907">66.739999999999995</cx:pt>
          <cx:pt idx="1908">83.840000000000003</cx:pt>
          <cx:pt idx="1909">89.579999999999998</cx:pt>
          <cx:pt idx="1910">68.430000000000007</cx:pt>
          <cx:pt idx="1911">55.789999999999999</cx:pt>
          <cx:pt idx="1912">64.069999999999993</cx:pt>
          <cx:pt idx="1913">58.149999999999999</cx:pt>
          <cx:pt idx="1914">60.710000000000001</cx:pt>
          <cx:pt idx="1915">79.560000000000002</cx:pt>
          <cx:pt idx="1916">75.099999999999994</cx:pt>
          <cx:pt idx="1917">85.170000000000002</cx:pt>
          <cx:pt idx="1918">97.719999999999999</cx:pt>
          <cx:pt idx="1919">90.799999999999997</cx:pt>
          <cx:pt idx="1920">80.939999999999998</cx:pt>
          <cx:pt idx="1921">77.069999999999993</cx:pt>
          <cx:pt idx="1922">87.709999999999994</cx:pt>
          <cx:pt idx="1923">53.859999999999999</cx:pt>
          <cx:pt idx="1924">85.430000000000007</cx:pt>
          <cx:pt idx="1925">69.489999999999995</cx:pt>
          <cx:pt idx="1926">99.629999999999995</cx:pt>
          <cx:pt idx="1927">77.260000000000005</cx:pt>
          <cx:pt idx="1928">60.07</cx:pt>
          <cx:pt idx="1929">77.340000000000003</cx:pt>
          <cx:pt idx="1930">97.200000000000003</cx:pt>
          <cx:pt idx="1931">72.819999999999993</cx:pt>
          <cx:pt idx="1932">82.609999999999999</cx:pt>
          <cx:pt idx="1933">55.590000000000003</cx:pt>
          <cx:pt idx="1934">51.899999999999999</cx:pt>
          <cx:pt idx="1935">96.489999999999995</cx:pt>
          <cx:pt idx="1936">56.25</cx:pt>
          <cx:pt idx="1937">95.969999999999999</cx:pt>
          <cx:pt idx="1938">75.840000000000003</cx:pt>
          <cx:pt idx="1939">83.680000000000007</cx:pt>
          <cx:pt idx="1940">61.299999999999997</cx:pt>
          <cx:pt idx="1941">52.689999999999998</cx:pt>
          <cx:pt idx="1942">64.030000000000001</cx:pt>
          <cx:pt idx="1943">99.930000000000007</cx:pt>
          <cx:pt idx="1944">93.560000000000002</cx:pt>
          <cx:pt idx="1945">67.5</cx:pt>
          <cx:pt idx="1946">63.07</cx:pt>
          <cx:pt idx="1947">58.170000000000002</cx:pt>
          <cx:pt idx="1948">63.850000000000001</cx:pt>
          <cx:pt idx="1949">64.859999999999999</cx:pt>
          <cx:pt idx="1950">70.659999999999997</cx:pt>
          <cx:pt idx="1951">56.439999999999998</cx:pt>
          <cx:pt idx="1952">56.340000000000003</cx:pt>
          <cx:pt idx="1953">92.519999999999996</cx:pt>
          <cx:pt idx="1954">73.980000000000004</cx:pt>
          <cx:pt idx="1955">81.359999999999999</cx:pt>
          <cx:pt idx="1956">90.319999999999993</cx:pt>
          <cx:pt idx="1957">75.920000000000002</cx:pt>
          <cx:pt idx="1958">60.100000000000001</cx:pt>
          <cx:pt idx="1959">69.700000000000003</cx:pt>
          <cx:pt idx="1960">96.099999999999994</cx:pt>
          <cx:pt idx="1961">88.650000000000006</cx:pt>
          <cx:pt idx="1962">84.810000000000002</cx:pt>
          <cx:pt idx="1963">76.030000000000001</cx:pt>
          <cx:pt idx="1964">86.530000000000001</cx:pt>
          <cx:pt idx="1965">54.630000000000003</cx:pt>
          <cx:pt idx="1966">78.200000000000003</cx:pt>
          <cx:pt idx="1967">95.359999999999999</cx:pt>
          <cx:pt idx="1968">57.799999999999997</cx:pt>
          <cx:pt idx="1969">99.439999999999998</cx:pt>
          <cx:pt idx="1970">50.920000000000002</cx:pt>
          <cx:pt idx="1971">91.299999999999997</cx:pt>
          <cx:pt idx="1972">94.349999999999994</cx:pt>
          <cx:pt idx="1973">53.240000000000002</cx:pt>
          <cx:pt idx="1974">54.759999999999998</cx:pt>
          <cx:pt idx="1975">57.579999999999998</cx:pt>
          <cx:pt idx="1976">53.149999999999999</cx:pt>
          <cx:pt idx="1977">57.439999999999998</cx:pt>
          <cx:pt idx="1978">76.640000000000001</cx:pt>
          <cx:pt idx="1979">58.460000000000001</cx:pt>
          <cx:pt idx="1980">80.459999999999994</cx:pt>
          <cx:pt idx="1981">92.060000000000002</cx:pt>
          <cx:pt idx="1982">70.420000000000002</cx:pt>
          <cx:pt idx="1983">94.129999999999995</cx:pt>
          <cx:pt idx="1984">91.890000000000001</cx:pt>
          <cx:pt idx="1985">93.950000000000003</cx:pt>
          <cx:pt idx="1986">93.640000000000001</cx:pt>
          <cx:pt idx="1987">62.280000000000001</cx:pt>
          <cx:pt idx="1988">91.469999999999999</cx:pt>
          <cx:pt idx="1989">99.599999999999994</cx:pt>
          <cx:pt idx="1990">89.560000000000002</cx:pt>
          <cx:pt idx="1991">68.75</cx:pt>
          <cx:pt idx="1992">63.270000000000003</cx:pt>
          <cx:pt idx="1993">99.510000000000005</cx:pt>
          <cx:pt idx="1994">55.5</cx:pt>
          <cx:pt idx="1995">51.32</cx:pt>
          <cx:pt idx="1996">66.599999999999994</cx:pt>
          <cx:pt idx="1997">51.600000000000001</cx:pt>
          <cx:pt idx="1998">85.439999999999998</cx:pt>
          <cx:pt idx="1999">89</cx:pt>
          <cx:pt idx="2000">64.890000000000001</cx:pt>
          <cx:pt idx="2001">92.069999999999993</cx:pt>
          <cx:pt idx="2002">74.650000000000006</cx:pt>
          <cx:pt idx="2003">62</cx:pt>
          <cx:pt idx="2004">70.609999999999999</cx:pt>
          <cx:pt idx="2005">84.540000000000006</cx:pt>
          <cx:pt idx="2006">56.450000000000003</cx:pt>
          <cx:pt idx="2007">89.709999999999994</cx:pt>
          <cx:pt idx="2008">91</cx:pt>
          <cx:pt idx="2009">97.670000000000002</cx:pt>
          <cx:pt idx="2010">85.209999999999994</cx:pt>
          <cx:pt idx="2011">65.469999999999999</cx:pt>
          <cx:pt idx="2012">54.939999999999998</cx:pt>
          <cx:pt idx="2013">51.509999999999998</cx:pt>
          <cx:pt idx="2014">61.710000000000001</cx:pt>
          <cx:pt idx="2015">88.459999999999994</cx:pt>
          <cx:pt idx="2016">99.450000000000003</cx:pt>
          <cx:pt idx="2017">60.759999999999998</cx:pt>
          <cx:pt idx="2018">66.260000000000005</cx:pt>
          <cx:pt idx="2019">81</cx:pt>
          <cx:pt idx="2020">99.659999999999997</cx:pt>
          <cx:pt idx="2021">73.370000000000005</cx:pt>
          <cx:pt idx="2022">92.640000000000001</cx:pt>
          <cx:pt idx="2023">64.900000000000006</cx:pt>
          <cx:pt idx="2024">61.880000000000003</cx:pt>
          <cx:pt idx="2025">78.519999999999996</cx:pt>
          <cx:pt idx="2026">67.540000000000006</cx:pt>
          <cx:pt idx="2027">91.319999999999993</cx:pt>
          <cx:pt idx="2028">85.5</cx:pt>
          <cx:pt idx="2029">71.299999999999997</cx:pt>
          <cx:pt idx="2030">50.659999999999997</cx:pt>
          <cx:pt idx="2031">96.540000000000006</cx:pt>
          <cx:pt idx="2032">57.020000000000003</cx:pt>
          <cx:pt idx="2033">85.739999999999995</cx:pt>
          <cx:pt idx="2034">72.469999999999999</cx:pt>
          <cx:pt idx="2035">86.140000000000001</cx:pt>
          <cx:pt idx="2036">90.400000000000006</cx:pt>
          <cx:pt idx="2037">59.909999999999997</cx:pt>
          <cx:pt idx="2038">70.469999999999999</cx:pt>
          <cx:pt idx="2039">55.939999999999998</cx:pt>
          <cx:pt idx="2040">74.329999999999998</cx:pt>
          <cx:pt idx="2041">70.019999999999996</cx:pt>
          <cx:pt idx="2042">64.370000000000005</cx:pt>
          <cx:pt idx="2043">87.75</cx:pt>
          <cx:pt idx="2044">58.219999999999999</cx:pt>
          <cx:pt idx="2045">66.260000000000005</cx:pt>
          <cx:pt idx="2046">70.060000000000002</cx:pt>
          <cx:pt idx="2047">66</cx:pt>
          <cx:pt idx="2048">54.740000000000002</cx:pt>
          <cx:pt idx="2049">87.260000000000005</cx:pt>
          <cx:pt idx="2050">71.489999999999995</cx:pt>
          <cx:pt idx="2051">72.379999999999995</cx:pt>
          <cx:pt idx="2052">94.709999999999994</cx:pt>
          <cx:pt idx="2053">95.140000000000001</cx:pt>
          <cx:pt idx="2054">68.049999999999997</cx:pt>
          <cx:pt idx="2055">84.730000000000004</cx:pt>
          <cx:pt idx="2056">86.730000000000004</cx:pt>
          <cx:pt idx="2057">90.790000000000006</cx:pt>
          <cx:pt idx="2058">50.869999999999997</cx:pt>
          <cx:pt idx="2059">77.150000000000006</cx:pt>
          <cx:pt idx="2060">75.180000000000007</cx:pt>
          <cx:pt idx="2061">68.150000000000006</cx:pt>
          <cx:pt idx="2062">65.430000000000007</cx:pt>
          <cx:pt idx="2063">94.620000000000005</cx:pt>
          <cx:pt idx="2064">76.019999999999996</cx:pt>
          <cx:pt idx="2065">87.269999999999996</cx:pt>
          <cx:pt idx="2066">60.469999999999999</cx:pt>
          <cx:pt idx="2067">71.730000000000004</cx:pt>
          <cx:pt idx="2068">61.960000000000001</cx:pt>
          <cx:pt idx="2069">93.659999999999997</cx:pt>
          <cx:pt idx="2070">72.150000000000006</cx:pt>
          <cx:pt idx="2071">95.840000000000003</cx:pt>
          <cx:pt idx="2072">85.819999999999993</cx:pt>
          <cx:pt idx="2073">61.740000000000002</cx:pt>
          <cx:pt idx="2074">66.329999999999998</cx:pt>
          <cx:pt idx="2075">98.400000000000006</cx:pt>
          <cx:pt idx="2076">69.930000000000007</cx:pt>
          <cx:pt idx="2077">94.370000000000005</cx:pt>
          <cx:pt idx="2078">59.060000000000002</cx:pt>
          <cx:pt idx="2079">90.430000000000007</cx:pt>
          <cx:pt idx="2080">68.599999999999994</cx:pt>
          <cx:pt idx="2081">53.68</cx:pt>
          <cx:pt idx="2082">78.170000000000002</cx:pt>
          <cx:pt idx="2083">87.659999999999997</cx:pt>
          <cx:pt idx="2084">60.909999999999997</cx:pt>
          <cx:pt idx="2085">86.329999999999998</cx:pt>
          <cx:pt idx="2086">62.390000000000001</cx:pt>
          <cx:pt idx="2087">88.430000000000007</cx:pt>
          <cx:pt idx="2088">74.079999999999998</cx:pt>
          <cx:pt idx="2089">58.049999999999997</cx:pt>
          <cx:pt idx="2090">67.159999999999997</cx:pt>
          <cx:pt idx="2091">71.590000000000003</cx:pt>
          <cx:pt idx="2092">97.349999999999994</cx:pt>
          <cx:pt idx="2093">59.640000000000001</cx:pt>
          <cx:pt idx="2094">75.760000000000005</cx:pt>
          <cx:pt idx="2095">57.939999999999998</cx:pt>
          <cx:pt idx="2096">67.599999999999994</cx:pt>
          <cx:pt idx="2097">93.980000000000004</cx:pt>
          <cx:pt idx="2098">71.109999999999999</cx:pt>
          <cx:pt idx="2099">58.310000000000002</cx:pt>
          <cx:pt idx="2100">97.739999999999995</cx:pt>
          <cx:pt idx="2101">52.299999999999997</cx:pt>
          <cx:pt idx="2102">73.829999999999998</cx:pt>
          <cx:pt idx="2103">94.209999999999994</cx:pt>
          <cx:pt idx="2104">80.349999999999994</cx:pt>
          <cx:pt idx="2105">73.280000000000001</cx:pt>
          <cx:pt idx="2106">50.789999999999999</cx:pt>
          <cx:pt idx="2107">87.209999999999994</cx:pt>
          <cx:pt idx="2108">99.989999999999995</cx:pt>
          <cx:pt idx="2109">74.810000000000002</cx:pt>
          <cx:pt idx="2110">75.340000000000003</cx:pt>
          <cx:pt idx="2111">78.939999999999998</cx:pt>
          <cx:pt idx="2112">62.119999999999997</cx:pt>
          <cx:pt idx="2113">95.299999999999997</cx:pt>
          <cx:pt idx="2114">81.239999999999995</cx:pt>
          <cx:pt idx="2115">78.079999999999998</cx:pt>
          <cx:pt idx="2116">81.989999999999995</cx:pt>
          <cx:pt idx="2117">72.140000000000001</cx:pt>
          <cx:pt idx="2118">75.870000000000005</cx:pt>
          <cx:pt idx="2119">97.390000000000001</cx:pt>
          <cx:pt idx="2120">98.549999999999997</cx:pt>
          <cx:pt idx="2121">77.099999999999994</cx:pt>
          <cx:pt idx="2122">82.140000000000001</cx:pt>
          <cx:pt idx="2123">50.780000000000001</cx:pt>
          <cx:pt idx="2124">83.409999999999997</cx:pt>
          <cx:pt idx="2125">77.609999999999999</cx:pt>
          <cx:pt idx="2126">53.68</cx:pt>
          <cx:pt idx="2127">71.599999999999994</cx:pt>
          <cx:pt idx="2128">77.090000000000003</cx:pt>
          <cx:pt idx="2129">77.379999999999995</cx:pt>
          <cx:pt idx="2130">53.229999999999997</cx:pt>
          <cx:pt idx="2131">91.170000000000002</cx:pt>
          <cx:pt idx="2132">64.680000000000007</cx:pt>
          <cx:pt idx="2133">55.210000000000001</cx:pt>
          <cx:pt idx="2134">86.950000000000003</cx:pt>
          <cx:pt idx="2135">92.230000000000004</cx:pt>
          <cx:pt idx="2136">85.780000000000001</cx:pt>
          <cx:pt idx="2137">84.810000000000002</cx:pt>
          <cx:pt idx="2138">72.269999999999996</cx:pt>
          <cx:pt idx="2139">82.670000000000002</cx:pt>
          <cx:pt idx="2140">60.840000000000003</cx:pt>
          <cx:pt idx="2141">81.5</cx:pt>
          <cx:pt idx="2142">67.870000000000005</cx:pt>
          <cx:pt idx="2143">71.420000000000002</cx:pt>
          <cx:pt idx="2144">52.640000000000001</cx:pt>
          <cx:pt idx="2145">79.090000000000003</cx:pt>
          <cx:pt idx="2146">61.579999999999998</cx:pt>
          <cx:pt idx="2147">75.129999999999995</cx:pt>
          <cx:pt idx="2148">52.859999999999999</cx:pt>
          <cx:pt idx="2149">50.119999999999997</cx:pt>
          <cx:pt idx="2150">67.400000000000006</cx:pt>
          <cx:pt idx="2151">88.079999999999998</cx:pt>
          <cx:pt idx="2152">76.549999999999997</cx:pt>
          <cx:pt idx="2153">78.989999999999995</cx:pt>
          <cx:pt idx="2154">74.170000000000002</cx:pt>
          <cx:pt idx="2155">59.850000000000001</cx:pt>
          <cx:pt idx="2156">67.370000000000005</cx:pt>
          <cx:pt idx="2157">82.989999999999995</cx:pt>
          <cx:pt idx="2158">65.819999999999993</cx:pt>
          <cx:pt idx="2159">67.060000000000002</cx:pt>
          <cx:pt idx="2160">68.409999999999997</cx:pt>
          <cx:pt idx="2161">67.609999999999999</cx:pt>
          <cx:pt idx="2162">56.229999999999997</cx:pt>
          <cx:pt idx="2163">99.640000000000001</cx:pt>
          <cx:pt idx="2164">60.5</cx:pt>
          <cx:pt idx="2165">77.920000000000002</cx:pt>
          <cx:pt idx="2166">96.890000000000001</cx:pt>
          <cx:pt idx="2167">74.430000000000007</cx:pt>
          <cx:pt idx="2168">72.349999999999994</cx:pt>
          <cx:pt idx="2169">65.890000000000001</cx:pt>
          <cx:pt idx="2170">63.240000000000002</cx:pt>
          <cx:pt idx="2171">52.25</cx:pt>
          <cx:pt idx="2172">71.489999999999995</cx:pt>
          <cx:pt idx="2173">83.269999999999996</cx:pt>
          <cx:pt idx="2174">86.260000000000005</cx:pt>
          <cx:pt idx="2175">95.810000000000002</cx:pt>
          <cx:pt idx="2176">88.129999999999995</cx:pt>
          <cx:pt idx="2177">76.200000000000003</cx:pt>
          <cx:pt idx="2178">94.709999999999994</cx:pt>
          <cx:pt idx="2179">61.07</cx:pt>
          <cx:pt idx="2180">59.43</cx:pt>
          <cx:pt idx="2181">67.459999999999994</cx:pt>
          <cx:pt idx="2182">69.950000000000003</cx:pt>
          <cx:pt idx="2183">56.939999999999998</cx:pt>
          <cx:pt idx="2184">98.400000000000006</cx:pt>
          <cx:pt idx="2185">80.969999999999999</cx:pt>
          <cx:pt idx="2186">97.909999999999997</cx:pt>
          <cx:pt idx="2187">58.710000000000001</cx:pt>
          <cx:pt idx="2188">59.649999999999999</cx:pt>
          <cx:pt idx="2189">65.079999999999998</cx:pt>
          <cx:pt idx="2190">59.509999999999998</cx:pt>
          <cx:pt idx="2191">91.780000000000001</cx:pt>
          <cx:pt idx="2192">52.350000000000001</cx:pt>
          <cx:pt idx="2193">62.060000000000002</cx:pt>
          <cx:pt idx="2194">79.489999999999995</cx:pt>
          <cx:pt idx="2195">69.409999999999997</cx:pt>
          <cx:pt idx="2196">82.739999999999995</cx:pt>
          <cx:pt idx="2197">87.760000000000005</cx:pt>
          <cx:pt idx="2198">74.590000000000003</cx:pt>
          <cx:pt idx="2199">50.990000000000002</cx:pt>
          <cx:pt idx="2200">88.530000000000001</cx:pt>
          <cx:pt idx="2201">64.75</cx:pt>
          <cx:pt idx="2202">94.469999999999999</cx:pt>
          <cx:pt idx="2203">97.569999999999993</cx:pt>
          <cx:pt idx="2204">61.770000000000003</cx:pt>
          <cx:pt idx="2205">97.700000000000003</cx:pt>
          <cx:pt idx="2206">60.350000000000001</cx:pt>
          <cx:pt idx="2207">87.129999999999995</cx:pt>
          <cx:pt idx="2208">86.060000000000002</cx:pt>
          <cx:pt idx="2209">84.989999999999995</cx:pt>
          <cx:pt idx="2210">67.379999999999995</cx:pt>
          <cx:pt idx="2211">95.680000000000007</cx:pt>
          <cx:pt idx="2212">53.479999999999997</cx:pt>
          <cx:pt idx="2213">89.280000000000001</cx:pt>
          <cx:pt idx="2214">69.180000000000007</cx:pt>
          <cx:pt idx="2215">77.540000000000006</cx:pt>
          <cx:pt idx="2216">81.569999999999993</cx:pt>
          <cx:pt idx="2217">79.379999999999995</cx:pt>
          <cx:pt idx="2218">67.430000000000007</cx:pt>
          <cx:pt idx="2219">85.950000000000003</cx:pt>
          <cx:pt idx="2220">50.020000000000003</cx:pt>
          <cx:pt idx="2221">65.730000000000004</cx:pt>
          <cx:pt idx="2222">79.109999999999999</cx:pt>
          <cx:pt idx="2223">65.799999999999997</cx:pt>
          <cx:pt idx="2224">64.900000000000006</cx:pt>
          <cx:pt idx="2225">91.299999999999997</cx:pt>
          <cx:pt idx="2226">56.359999999999999</cx:pt>
          <cx:pt idx="2227">83.040000000000006</cx:pt>
          <cx:pt idx="2228">55.469999999999999</cx:pt>
          <cx:pt idx="2229">71.530000000000001</cx:pt>
          <cx:pt idx="2230">55.600000000000001</cx:pt>
          <cx:pt idx="2231">82.920000000000002</cx:pt>
          <cx:pt idx="2232">51.729999999999997</cx:pt>
          <cx:pt idx="2233">51.659999999999997</cx:pt>
          <cx:pt idx="2234">83.769999999999996</cx:pt>
          <cx:pt idx="2235">79.739999999999995</cx:pt>
          <cx:pt idx="2236">50.310000000000002</cx:pt>
          <cx:pt idx="2237">81.659999999999997</cx:pt>
          <cx:pt idx="2238">61.939999999999998</cx:pt>
          <cx:pt idx="2239">83.150000000000006</cx:pt>
          <cx:pt idx="2240">57.130000000000003</cx:pt>
          <cx:pt idx="2241">66.510000000000005</cx:pt>
          <cx:pt idx="2242">54.609999999999999</cx:pt>
          <cx:pt idx="2243">87.609999999999999</cx:pt>
          <cx:pt idx="2244">61.409999999999997</cx:pt>
          <cx:pt idx="2245">92.920000000000002</cx:pt>
          <cx:pt idx="2246">68.219999999999999</cx:pt>
          <cx:pt idx="2247">72.739999999999995</cx:pt>
          <cx:pt idx="2248">83.840000000000003</cx:pt>
          <cx:pt idx="2249">66.680000000000007</cx:pt>
          <cx:pt idx="2250">51.469999999999999</cx:pt>
          <cx:pt idx="2251">89.340000000000003</cx:pt>
          <cx:pt idx="2252">71.359999999999999</cx:pt>
          <cx:pt idx="2253">88.379999999999995</cx:pt>
          <cx:pt idx="2254">74.969999999999999</cx:pt>
          <cx:pt idx="2255">81.659999999999997</cx:pt>
          <cx:pt idx="2256">98.230000000000004</cx:pt>
          <cx:pt idx="2257">62.659999999999997</cx:pt>
          <cx:pt idx="2258">60.689999999999998</cx:pt>
          <cx:pt idx="2259">54.119999999999997</cx:pt>
          <cx:pt idx="2260">53.799999999999997</cx:pt>
          <cx:pt idx="2261">51.560000000000002</cx:pt>
          <cx:pt idx="2262">86.409999999999997</cx:pt>
          <cx:pt idx="2263">91.859999999999999</cx:pt>
          <cx:pt idx="2264">86.689999999999998</cx:pt>
          <cx:pt idx="2265">94.5</cx:pt>
          <cx:pt idx="2266">67.599999999999994</cx:pt>
          <cx:pt idx="2267">54.619999999999997</cx:pt>
          <cx:pt idx="2268">89.140000000000001</cx:pt>
          <cx:pt idx="2269">73.230000000000004</cx:pt>
          <cx:pt idx="2270">95.150000000000006</cx:pt>
          <cx:pt idx="2271">88.569999999999993</cx:pt>
          <cx:pt idx="2272">65.109999999999999</cx:pt>
          <cx:pt idx="2273">50.950000000000003</cx:pt>
          <cx:pt idx="2274">55.850000000000001</cx:pt>
          <cx:pt idx="2275">70.689999999999998</cx:pt>
          <cx:pt idx="2276">84.840000000000003</cx:pt>
          <cx:pt idx="2277">99.730000000000004</cx:pt>
          <cx:pt idx="2278">99.859999999999999</cx:pt>
          <cx:pt idx="2279">80.609999999999999</cx:pt>
          <cx:pt idx="2280">79.459999999999994</cx:pt>
          <cx:pt idx="2281">54.490000000000002</cx:pt>
          <cx:pt idx="2282">51.649999999999999</cx:pt>
          <cx:pt idx="2283">95.849999999999994</cx:pt>
          <cx:pt idx="2284">56.119999999999997</cx:pt>
          <cx:pt idx="2285">77.469999999999999</cx:pt>
          <cx:pt idx="2286">97.909999999999997</cx:pt>
          <cx:pt idx="2287">73.730000000000004</cx:pt>
          <cx:pt idx="2288">80.290000000000006</cx:pt>
          <cx:pt idx="2289">67.969999999999999</cx:pt>
          <cx:pt idx="2290">99.799999999999997</cx:pt>
          <cx:pt idx="2291">88.420000000000002</cx:pt>
          <cx:pt idx="2292">69.489999999999995</cx:pt>
          <cx:pt idx="2293">66.280000000000001</cx:pt>
          <cx:pt idx="2294">90.090000000000003</cx:pt>
          <cx:pt idx="2295">50.890000000000001</cx:pt>
          <cx:pt idx="2296">73.969999999999999</cx:pt>
          <cx:pt idx="2297">87.120000000000005</cx:pt>
          <cx:pt idx="2298">97.739999999999995</cx:pt>
          <cx:pt idx="2299">74.299999999999997</cx:pt>
          <cx:pt idx="2300">69.200000000000003</cx:pt>
          <cx:pt idx="2301">53.700000000000003</cx:pt>
          <cx:pt idx="2302">87.329999999999998</cx:pt>
          <cx:pt idx="2303">80.700000000000003</cx:pt>
          <cx:pt idx="2304">55.289999999999999</cx:pt>
          <cx:pt idx="2305">67.010000000000005</cx:pt>
          <cx:pt idx="2306">78.079999999999998</cx:pt>
          <cx:pt idx="2307">91.359999999999999</cx:pt>
          <cx:pt idx="2308">60.469999999999999</cx:pt>
          <cx:pt idx="2309">76.75</cx:pt>
          <cx:pt idx="2310">53.32</cx:pt>
          <cx:pt idx="2311">79.030000000000001</cx:pt>
          <cx:pt idx="2312">78.200000000000003</cx:pt>
          <cx:pt idx="2313">57.270000000000003</cx:pt>
          <cx:pt idx="2314">95.780000000000001</cx:pt>
          <cx:pt idx="2315">82.670000000000002</cx:pt>
          <cx:pt idx="2316">96.489999999999995</cx:pt>
          <cx:pt idx="2317">99.090000000000003</cx:pt>
          <cx:pt idx="2318">69.870000000000005</cx:pt>
          <cx:pt idx="2319">71.239999999999995</cx:pt>
          <cx:pt idx="2320">61.350000000000001</cx:pt>
          <cx:pt idx="2321">51.579999999999998</cx:pt>
          <cx:pt idx="2322">69.620000000000005</cx:pt>
          <cx:pt idx="2323">53.789999999999999</cx:pt>
          <cx:pt idx="2324">98.400000000000006</cx:pt>
          <cx:pt idx="2325">69.290000000000006</cx:pt>
          <cx:pt idx="2326">53.920000000000002</cx:pt>
          <cx:pt idx="2327">55.509999999999998</cx:pt>
          <cx:pt idx="2328">89.849999999999994</cx:pt>
          <cx:pt idx="2329">73.140000000000001</cx:pt>
          <cx:pt idx="2330">70.430000000000007</cx:pt>
          <cx:pt idx="2331">50.850000000000001</cx:pt>
          <cx:pt idx="2332">79.530000000000001</cx:pt>
          <cx:pt idx="2333">88.950000000000003</cx:pt>
          <cx:pt idx="2334">83.439999999999998</cx:pt>
          <cx:pt idx="2335">77.930000000000007</cx:pt>
          <cx:pt idx="2336">99.670000000000002</cx:pt>
          <cx:pt idx="2337">68.530000000000001</cx:pt>
          <cx:pt idx="2338">52.810000000000002</cx:pt>
          <cx:pt idx="2339">66.280000000000001</cx:pt>
          <cx:pt idx="2340">51.350000000000001</cx:pt>
          <cx:pt idx="2341">62.299999999999997</cx:pt>
          <cx:pt idx="2342">60.82</cx:pt>
          <cx:pt idx="2343">83.090000000000003</cx:pt>
          <cx:pt idx="2344">89.400000000000006</cx:pt>
          <cx:pt idx="2345">84.219999999999999</cx:pt>
          <cx:pt idx="2346">61.079999999999998</cx:pt>
          <cx:pt idx="2347">63.299999999999997</cx:pt>
          <cx:pt idx="2348">86.980000000000004</cx:pt>
          <cx:pt idx="2349">73.790000000000006</cx:pt>
          <cx:pt idx="2350">77.569999999999993</cx:pt>
          <cx:pt idx="2351">92.810000000000002</cx:pt>
          <cx:pt idx="2352">87.659999999999997</cx:pt>
          <cx:pt idx="2353">98.109999999999999</cx:pt>
          <cx:pt idx="2354">57.700000000000003</cx:pt>
          <cx:pt idx="2355">51.240000000000002</cx:pt>
          <cx:pt idx="2356">50.710000000000001</cx:pt>
          <cx:pt idx="2357">95.640000000000001</cx:pt>
          <cx:pt idx="2358">81.430000000000007</cx:pt>
          <cx:pt idx="2359">56.509999999999998</cx:pt>
          <cx:pt idx="2360">62.939999999999998</cx:pt>
          <cx:pt idx="2361">61.359999999999999</cx:pt>
          <cx:pt idx="2362">74.489999999999995</cx:pt>
          <cx:pt idx="2363">98.629999999999995</cx:pt>
          <cx:pt idx="2364">59.439999999999998</cx:pt>
          <cx:pt idx="2365">89.129999999999995</cx:pt>
          <cx:pt idx="2366">74.900000000000006</cx:pt>
          <cx:pt idx="2367">60.079999999999998</cx:pt>
          <cx:pt idx="2368">80.340000000000003</cx:pt>
          <cx:pt idx="2369">76.450000000000003</cx:pt>
          <cx:pt idx="2370">91.030000000000001</cx:pt>
          <cx:pt idx="2371">65.989999999999995</cx:pt>
          <cx:pt idx="2372">97.450000000000003</cx:pt>
          <cx:pt idx="2373">95.409999999999997</cx:pt>
          <cx:pt idx="2374">99.689999999999998</cx:pt>
          <cx:pt idx="2375">65.319999999999993</cx:pt>
          <cx:pt idx="2376">56.82</cx:pt>
          <cx:pt idx="2377">90.040000000000006</cx:pt>
          <cx:pt idx="2378">82.099999999999994</cx:pt>
          <cx:pt idx="2379">61.049999999999997</cx:pt>
          <cx:pt idx="2380">98.519999999999996</cx:pt>
          <cx:pt idx="2381">92.790000000000006</cx:pt>
          <cx:pt idx="2382">54.469999999999999</cx:pt>
          <cx:pt idx="2383">96.060000000000002</cx:pt>
          <cx:pt idx="2384">60.060000000000002</cx:pt>
          <cx:pt idx="2385">65</cx:pt>
          <cx:pt idx="2386">99.879999999999995</cx:pt>
          <cx:pt idx="2387">62.259999999999998</cx:pt>
          <cx:pt idx="2388">93.260000000000005</cx:pt>
          <cx:pt idx="2389">76.450000000000003</cx:pt>
          <cx:pt idx="2390">91.010000000000005</cx:pt>
          <cx:pt idx="2391">70.980000000000004</cx:pt>
          <cx:pt idx="2392">67.069999999999993</cx:pt>
          <cx:pt idx="2393">84.439999999999998</cx:pt>
          <cx:pt idx="2394">61.780000000000001</cx:pt>
          <cx:pt idx="2395">62.969999999999999</cx:pt>
          <cx:pt idx="2396">59.659999999999997</cx:pt>
          <cx:pt idx="2397">87.25</cx:pt>
          <cx:pt idx="2398">58.630000000000003</cx:pt>
          <cx:pt idx="2399">50.990000000000002</cx:pt>
          <cx:pt idx="2400">56.590000000000003</cx:pt>
          <cx:pt idx="2401">96.030000000000001</cx:pt>
          <cx:pt idx="2402">65.980000000000004</cx:pt>
          <cx:pt idx="2403">56.119999999999997</cx:pt>
          <cx:pt idx="2404">95.450000000000003</cx:pt>
          <cx:pt idx="2405">50.630000000000003</cx:pt>
          <cx:pt idx="2406">54.549999999999997</cx:pt>
          <cx:pt idx="2407">96.790000000000006</cx:pt>
          <cx:pt idx="2408">67.349999999999994</cx:pt>
          <cx:pt idx="2409">97.480000000000004</cx:pt>
          <cx:pt idx="2410">61.509999999999998</cx:pt>
          <cx:pt idx="2411">68.569999999999993</cx:pt>
          <cx:pt idx="2412">58.079999999999998</cx:pt>
          <cx:pt idx="2413">87.010000000000005</cx:pt>
          <cx:pt idx="2414">98.870000000000005</cx:pt>
          <cx:pt idx="2415">88.530000000000001</cx:pt>
          <cx:pt idx="2416">84.920000000000002</cx:pt>
          <cx:pt idx="2417">84.689999999999998</cx:pt>
          <cx:pt idx="2418">92.989999999999995</cx:pt>
          <cx:pt idx="2419">93.159999999999997</cx:pt>
          <cx:pt idx="2420">73.170000000000002</cx:pt>
          <cx:pt idx="2421">64.920000000000002</cx:pt>
          <cx:pt idx="2422">68.060000000000002</cx:pt>
          <cx:pt idx="2423">86.489999999999995</cx:pt>
          <cx:pt idx="2424">58.759999999999998</cx:pt>
          <cx:pt idx="2425">81.189999999999998</cx:pt>
          <cx:pt idx="2426">97.390000000000001</cx:pt>
          <cx:pt idx="2427">88.359999999999999</cx:pt>
          <cx:pt idx="2428">89.519999999999996</cx:pt>
          <cx:pt idx="2429">55.149999999999999</cx:pt>
          <cx:pt idx="2430">50.270000000000003</cx:pt>
          <cx:pt idx="2431">93.019999999999996</cx:pt>
          <cx:pt idx="2432">85.930000000000007</cx:pt>
          <cx:pt idx="2433">84.390000000000001</cx:pt>
          <cx:pt idx="2434">85.450000000000003</cx:pt>
          <cx:pt idx="2435">70.310000000000002</cx:pt>
          <cx:pt idx="2436">60.039999999999999</cx:pt>
          <cx:pt idx="2437">82.060000000000002</cx:pt>
          <cx:pt idx="2438">60.479999999999997</cx:pt>
          <cx:pt idx="2439">95.329999999999998</cx:pt>
          <cx:pt idx="2440">80.049999999999997</cx:pt>
          <cx:pt idx="2441">77.849999999999994</cx:pt>
          <cx:pt idx="2442">78.030000000000001</cx:pt>
          <cx:pt idx="2443">54.689999999999998</cx:pt>
          <cx:pt idx="2444">86.920000000000002</cx:pt>
          <cx:pt idx="2445">50.469999999999999</cx:pt>
          <cx:pt idx="2446">69.019999999999996</cx:pt>
          <cx:pt idx="2447">67.590000000000003</cx:pt>
          <cx:pt idx="2448">63.740000000000002</cx:pt>
          <cx:pt idx="2449">77.680000000000007</cx:pt>
          <cx:pt idx="2450">85.579999999999998</cx:pt>
          <cx:pt idx="2451">66.25</cx:pt>
          <cx:pt idx="2452">70.219999999999999</cx:pt>
          <cx:pt idx="2453">88.049999999999997</cx:pt>
          <cx:pt idx="2454">63.890000000000001</cx:pt>
          <cx:pt idx="2455">98.890000000000001</cx:pt>
          <cx:pt idx="2456">70.489999999999995</cx:pt>
          <cx:pt idx="2457">80.409999999999997</cx:pt>
          <cx:pt idx="2458">50.710000000000001</cx:pt>
          <cx:pt idx="2459">56.369999999999997</cx:pt>
          <cx:pt idx="2460">89.989999999999995</cx:pt>
          <cx:pt idx="2461">91.769999999999996</cx:pt>
          <cx:pt idx="2462">54.399999999999999</cx:pt>
          <cx:pt idx="2463">63.509999999999998</cx:pt>
          <cx:pt idx="2464">54.600000000000001</cx:pt>
          <cx:pt idx="2465">86.180000000000007</cx:pt>
          <cx:pt idx="2466">98.870000000000005</cx:pt>
          <cx:pt idx="2467">78.420000000000002</cx:pt>
          <cx:pt idx="2468">56.189999999999998</cx:pt>
          <cx:pt idx="2469">61.960000000000001</cx:pt>
          <cx:pt idx="2470">76.209999999999994</cx:pt>
          <cx:pt idx="2471">93.280000000000001</cx:pt>
          <cx:pt idx="2472">90.5</cx:pt>
          <cx:pt idx="2473">71.689999999999998</cx:pt>
          <cx:pt idx="2474">69.430000000000007</cx:pt>
          <cx:pt idx="2475">94.290000000000006</cx:pt>
          <cx:pt idx="2476">69.870000000000005</cx:pt>
          <cx:pt idx="2477">64.670000000000002</cx:pt>
          <cx:pt idx="2478">69.239999999999995</cx:pt>
          <cx:pt idx="2479">75.170000000000002</cx:pt>
          <cx:pt idx="2480">75.469999999999999</cx:pt>
          <cx:pt idx="2481">78</cx:pt>
          <cx:pt idx="2482">66.379999999999995</cx:pt>
          <cx:pt idx="2483">69.109999999999999</cx:pt>
          <cx:pt idx="2484">99.909999999999997</cx:pt>
          <cx:pt idx="2485">57.609999999999999</cx:pt>
          <cx:pt idx="2486">82.260000000000005</cx:pt>
          <cx:pt idx="2487">73.879999999999995</cx:pt>
          <cx:pt idx="2488">66.769999999999996</cx:pt>
          <cx:pt idx="2489">83.879999999999995</cx:pt>
          <cx:pt idx="2490">99.159999999999997</cx:pt>
          <cx:pt idx="2491">52.280000000000001</cx:pt>
          <cx:pt idx="2492">63.810000000000002</cx:pt>
          <cx:pt idx="2493">90.629999999999995</cx:pt>
          <cx:pt idx="2494">57.100000000000001</cx:pt>
          <cx:pt idx="2495">89.069999999999993</cx:pt>
          <cx:pt idx="2496">89.900000000000006</cx:pt>
          <cx:pt idx="2497">52.159999999999997</cx:pt>
          <cx:pt idx="2498">71.450000000000003</cx:pt>
          <cx:pt idx="2499">81.680000000000007</cx:pt>
          <cx:pt idx="2500">67.209999999999994</cx:pt>
          <cx:pt idx="2501">72.760000000000005</cx:pt>
          <cx:pt idx="2502">86.269999999999996</cx:pt>
          <cx:pt idx="2503">70.359999999999999</cx:pt>
          <cx:pt idx="2504">55.229999999999997</cx:pt>
          <cx:pt idx="2505">51.640000000000001</cx:pt>
          <cx:pt idx="2506">95.129999999999995</cx:pt>
          <cx:pt idx="2507">55.189999999999998</cx:pt>
          <cx:pt idx="2508">89.400000000000006</cx:pt>
          <cx:pt idx="2509">67.549999999999997</cx:pt>
          <cx:pt idx="2510">58.299999999999997</cx:pt>
          <cx:pt idx="2511">88.439999999999998</cx:pt>
          <cx:pt idx="2512">99.909999999999997</cx:pt>
          <cx:pt idx="2513">77.329999999999998</cx:pt>
          <cx:pt idx="2514">86.75</cx:pt>
          <cx:pt idx="2515">64</cx:pt>
          <cx:pt idx="2516">53.689999999999998</cx:pt>
          <cx:pt idx="2517">55.560000000000002</cx:pt>
          <cx:pt idx="2518">64.989999999999995</cx:pt>
          <cx:pt idx="2519">55.549999999999997</cx:pt>
          <cx:pt idx="2520">91.170000000000002</cx:pt>
          <cx:pt idx="2521">84.090000000000003</cx:pt>
          <cx:pt idx="2522">50.549999999999997</cx:pt>
          <cx:pt idx="2523">83.659999999999997</cx:pt>
          <cx:pt idx="2524">83.849999999999994</cx:pt>
          <cx:pt idx="2525">66.75</cx:pt>
          <cx:pt idx="2526">62.32</cx:pt>
          <cx:pt idx="2527">85.609999999999999</cx:pt>
          <cx:pt idx="2528">83.299999999999997</cx:pt>
          <cx:pt idx="2529">96.150000000000006</cx:pt>
          <cx:pt idx="2530">62.039999999999999</cx:pt>
          <cx:pt idx="2531">88.209999999999994</cx:pt>
          <cx:pt idx="2532">57.310000000000002</cx:pt>
          <cx:pt idx="2533">79.469999999999999</cx:pt>
          <cx:pt idx="2534">77.319999999999993</cx:pt>
          <cx:pt idx="2535">94.069999999999993</cx:pt>
          <cx:pt idx="2536">96.180000000000007</cx:pt>
          <cx:pt idx="2537">78.959999999999994</cx:pt>
          <cx:pt idx="2538">51.359999999999999</cx:pt>
          <cx:pt idx="2539">87.730000000000004</cx:pt>
          <cx:pt idx="2540">83.799999999999997</cx:pt>
          <cx:pt idx="2541">99.879999999999995</cx:pt>
          <cx:pt idx="2542">64.530000000000001</cx:pt>
          <cx:pt idx="2543">89.510000000000005</cx:pt>
          <cx:pt idx="2544">61.07</cx:pt>
          <cx:pt idx="2545">62.979999999999997</cx:pt>
          <cx:pt idx="2546">86.25</cx:pt>
          <cx:pt idx="2547">79</cx:pt>
          <cx:pt idx="2548">75.260000000000005</cx:pt>
          <cx:pt idx="2549">96.069999999999993</cx:pt>
          <cx:pt idx="2550">53.18</cx:pt>
          <cx:pt idx="2551">90.799999999999997</cx:pt>
          <cx:pt idx="2552">55.409999999999997</cx:pt>
          <cx:pt idx="2553">71.379999999999995</cx:pt>
        </cx:lvl>
      </cx:numDim>
    </cx:data>
  </cx:chartData>
  <cx:chart>
    <cx:title pos="t" align="ctr" overlay="0">
      <cx:tx>
        <cx:rich>
          <a:bodyPr spcFirstLastPara="1" vertOverflow="ellipsis" horzOverflow="overflow" wrap="square" lIns="0" tIns="0" rIns="0" bIns="0" anchor="ctr" anchorCtr="1"/>
          <a:lstStyle/>
          <a:p>
            <a:pPr algn="ctr" rtl="0">
              <a:defRPr>
                <a:latin typeface="Calibri" panose="020F0502020204030204" pitchFamily="34" charset="0"/>
                <a:ea typeface="Calibri" panose="020F0502020204030204" pitchFamily="34" charset="0"/>
                <a:cs typeface="Calibri" panose="020F0502020204030204" pitchFamily="34" charset="0"/>
              </a:defRPr>
            </a:pPr>
            <a:r>
              <a:rPr lang="en-NZ">
                <a:solidFill>
                  <a:sysClr val="windowText" lastClr="000000"/>
                </a:solidFill>
                <a:latin typeface="Calibri" panose="020F0502020204030204" pitchFamily="34" charset="0"/>
                <a:ea typeface="Calibri" panose="020F0502020204030204" pitchFamily="34" charset="0"/>
                <a:cs typeface="Calibri" panose="020F0502020204030204" pitchFamily="34" charset="0"/>
              </a:rPr>
              <a:t>Boxplot of course completion rates</a:t>
            </a:r>
            <a:endParaRPr lang="en-US" sz="14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x:rich>
      </cx:tx>
    </cx:title>
    <cx:plotArea>
      <cx:plotAreaRegion>
        <cx:series layoutId="boxWhisker" uniqueId="{5CB0DA3C-837E-4E39-AE42-0B0BBDF8B2DD}">
          <cx:tx>
            <cx:txData>
              <cx:f>online_courses_uses!$F$1</cx:f>
              <cx:v>Completion_Rate (%)</cx:v>
            </cx:txData>
          </cx:tx>
          <cx:dataLabels pos="r">
            <cx:numFmt formatCode="#,##0.00" sourceLinked="0"/>
            <cx:spPr>
              <a:solidFill>
                <a:schemeClr val="bg1"/>
              </a:solidFill>
            </cx:spPr>
            <cx:txPr>
              <a:bodyPr spcFirstLastPara="1" vertOverflow="ellipsis" horzOverflow="overflow" wrap="square" lIns="0" tIns="0" rIns="0" bIns="0" anchor="ctr" anchorCtr="1"/>
              <a:lstStyle/>
              <a:p>
                <a:pPr algn="ctr" rtl="0">
                  <a:defRPr>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sz="9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x:txPr>
            <cx:visibility seriesName="0" categoryName="0" value="1"/>
            <cx:separator>, </cx:separator>
          </cx:dataLabels>
          <cx:dataId val="0"/>
          <cx:layoutPr>
            <cx:visibility meanLine="0" meanMarker="1" nonoutliers="0" outliers="1"/>
            <cx:statistics quartileMethod="exclusive"/>
          </cx:layoutPr>
        </cx:series>
      </cx:plotAreaRegion>
      <cx:axis id="0">
        <cx:catScaling gapWidth="1"/>
        <cx:tickLabels/>
      </cx:axis>
      <cx:axis id="1">
        <cx:valScaling/>
        <cx:title>
          <cx:tx>
            <cx:txData>
              <cx:v>Completion rate (%)</cx:v>
            </cx:txData>
          </cx:tx>
          <cx:txPr>
            <a:bodyPr spcFirstLastPara="1" vertOverflow="ellipsis" horzOverflow="overflow" wrap="square" lIns="0" tIns="0" rIns="0" bIns="0" anchor="ctr" anchorCtr="1"/>
            <a:lstStyle/>
            <a:p>
              <a:pPr algn="ctr" rtl="0">
                <a:defRPr>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US" sz="9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Completion rate (%)</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sz="9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x:txPr>
      </cx:axis>
    </cx:plotArea>
  </cx:chart>
  <cx:spPr>
    <a:ln w="19050">
      <a:solidFill>
        <a:schemeClr val="accent1"/>
      </a:solid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Sheet1!$A$4:$A$7</cx:f>
        <cx:lvl ptCount="4">
          <cx:pt idx="0">Coursera</cx:pt>
          <cx:pt idx="1">edX</cx:pt>
          <cx:pt idx="2">LinkedIn Learning</cx:pt>
          <cx:pt idx="3">Udemy</cx:pt>
        </cx:lvl>
      </cx:strDim>
      <cx:numDim type="val">
        <cx:f>Sheet1!$B$4:$B$7</cx:f>
        <cx:lvl ptCount="4" formatCode="General">
          <cx:pt idx="0">4.0003244120032493</cx:pt>
          <cx:pt idx="1">4.0031867688584137</cx:pt>
          <cx:pt idx="2">3.9726109556177507</cx:pt>
          <cx:pt idx="3">4.0006264682850476</cx:pt>
        </cx:lvl>
      </cx:numDim>
    </cx:data>
  </cx:chartData>
  <cx:chart>
    <cx:title pos="t" align="ctr" overlay="0">
      <cx:tx>
        <cx:rich>
          <a:bodyPr spcFirstLastPara="1" vertOverflow="ellipsis" horzOverflow="overflow" wrap="square" lIns="0" tIns="0" rIns="0" bIns="0" anchor="ctr" anchorCtr="1"/>
          <a:lstStyle/>
          <a:p>
            <a:pPr algn="ctr" rtl="0">
              <a:defRPr sz="180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NZ" sz="140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Average course ratings by platform </a:t>
            </a:r>
            <a:endParaRPr lang="en-US" sz="14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x:rich>
      </cx:tx>
    </cx:title>
    <cx:plotArea>
      <cx:plotAreaRegion>
        <cx:series layoutId="boxWhisker" uniqueId="{96B0E89F-A811-4EFC-9414-5CAD29B3D7E0}">
          <cx:tx>
            <cx:txData>
              <cx:f>Sheet1!$B$3</cx:f>
              <cx:v>Average of rating (out of 5)</cx:v>
            </cx:txData>
          </cx:tx>
          <cx:spPr>
            <a:ln w="25400">
              <a:solidFill>
                <a:schemeClr val="accent1"/>
              </a:solidFill>
              <a:prstDash val="solid"/>
            </a:ln>
          </cx:spPr>
          <cx:dataId val="0"/>
          <cx:layoutPr>
            <cx:visibility meanLine="0" meanMarker="1" nonoutliers="0" outliers="1"/>
            <cx:statistics quartileMethod="exclusive"/>
          </cx:layoutPr>
        </cx:series>
      </cx:plotAreaRegion>
      <cx:axis id="0">
        <cx:catScaling gapWidth="1"/>
        <cx:title>
          <cx:tx>
            <cx:txData>
              <cx:v>Course platform</cx:v>
            </cx:txData>
          </cx:tx>
          <cx:txPr>
            <a:bodyPr spcFirstLastPara="1" vertOverflow="ellipsis" horzOverflow="overflow" wrap="square" lIns="0" tIns="0" rIns="0" bIns="0" anchor="ctr" anchorCtr="1"/>
            <a:lstStyle/>
            <a:p>
              <a:pPr algn="ctr" rtl="0">
                <a:defRPr>
                  <a:latin typeface="Calibri" panose="020F0502020204030204" pitchFamily="34" charset="0"/>
                  <a:ea typeface="Calibri" panose="020F0502020204030204" pitchFamily="34" charset="0"/>
                  <a:cs typeface="Calibri" panose="020F0502020204030204" pitchFamily="34" charset="0"/>
                </a:defRPr>
              </a:pPr>
              <a:r>
                <a:rPr lang="en-US" sz="12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Course platform</a:t>
              </a:r>
            </a:p>
          </cx:txPr>
        </cx:title>
        <cx:tickLabels/>
        <cx:txPr>
          <a:bodyPr spcFirstLastPara="1" vertOverflow="ellipsis" horzOverflow="overflow" wrap="square" lIns="0" tIns="0" rIns="0" bIns="0" anchor="ctr" anchorCtr="1"/>
          <a:lstStyle/>
          <a:p>
            <a:pPr algn="ctr" rtl="0">
              <a:defRPr sz="130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sz="13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x:txPr>
      </cx:axis>
      <cx:axis id="1">
        <cx:valScaling/>
        <cx:title>
          <cx:tx>
            <cx:txData>
              <cx:v>Rating</cx:v>
            </cx:txData>
          </cx:tx>
          <cx:txPr>
            <a:bodyPr spcFirstLastPara="1" vertOverflow="ellipsis" horzOverflow="overflow" wrap="square" lIns="0" tIns="0" rIns="0" bIns="0" anchor="ctr" anchorCtr="1"/>
            <a:lstStyle/>
            <a:p>
              <a:pPr algn="ctr" rtl="0">
                <a:defRPr sz="120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r>
                <a:rPr lang="en-US" sz="12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rPr>
                <a:t>Rating</a:t>
              </a:r>
            </a:p>
          </cx:txPr>
        </cx:title>
        <cx:majorGridlines/>
        <cx:tickLabels/>
        <cx:txPr>
          <a:bodyPr spcFirstLastPara="1" vertOverflow="ellipsis" horzOverflow="overflow" wrap="square" lIns="0" tIns="0" rIns="0" bIns="0" anchor="ctr" anchorCtr="1"/>
          <a:lstStyle/>
          <a:p>
            <a:pPr algn="ctr" rtl="0">
              <a:defRPr sz="130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n-US" sz="1300" b="0" i="0" u="none" strike="noStrike"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endParaRPr>
          </a:p>
        </cx:txPr>
      </cx:axis>
    </cx:plotArea>
  </cx:chart>
  <cx:spPr>
    <a:solidFill>
      <a:schemeClr val="lt1"/>
    </a:solidFill>
    <a:ln w="19050" cap="flat" cmpd="sng" algn="ctr">
      <a:solidFill>
        <a:schemeClr val="tx1"/>
      </a:solidFill>
      <a:prstDash val="solid"/>
      <a:miter lim="800000"/>
    </a:ln>
    <a:effectLst/>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8497938A1B414D8CBA675389FCADE8" ma:contentTypeVersion="15" ma:contentTypeDescription="Create a new document." ma:contentTypeScope="" ma:versionID="26d8565635366b01305c9776868fe632">
  <xsd:schema xmlns:xsd="http://www.w3.org/2001/XMLSchema" xmlns:xs="http://www.w3.org/2001/XMLSchema" xmlns:p="http://schemas.microsoft.com/office/2006/metadata/properties" xmlns:ns2="62f97a66-ba2d-48e4-9d68-8cc8022919ec" xmlns:ns3="f9824fa9-da6f-4490-98fe-361cd420e8e1" targetNamespace="http://schemas.microsoft.com/office/2006/metadata/properties" ma:root="true" ma:fieldsID="df04273585c4d3f03e1e718f0be59b5d" ns2:_="" ns3:_="">
    <xsd:import namespace="62f97a66-ba2d-48e4-9d68-8cc8022919ec"/>
    <xsd:import namespace="f9824fa9-da6f-4490-98fe-361cd420e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97a66-ba2d-48e4-9d68-8cc80229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7ff555-2678-4e92-a016-67fe0a6974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24fa9-da6f-4490-98fe-361cd420e8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bb3a7a-7f77-4fbf-bd59-ab532a608d7e}" ma:internalName="TaxCatchAll" ma:showField="CatchAllData" ma:web="f9824fa9-da6f-4490-98fe-361cd420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9824fa9-da6f-4490-98fe-361cd420e8e1"/>
    <lcf76f155ced4ddcb4097134ff3c332f xmlns="62f97a66-ba2d-48e4-9d68-8cc80229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82F004-1D90-4D32-92C9-A7D1C5F73C81}">
  <ds:schemaRefs>
    <ds:schemaRef ds:uri="http://schemas.microsoft.com/sharepoint/v3/contenttype/forms"/>
  </ds:schemaRefs>
</ds:datastoreItem>
</file>

<file path=customXml/itemProps3.xml><?xml version="1.0" encoding="utf-8"?>
<ds:datastoreItem xmlns:ds="http://schemas.openxmlformats.org/officeDocument/2006/customXml" ds:itemID="{83CB757D-A46D-41B0-A193-9C58C6D768B0}">
  <ds:schemaRefs>
    <ds:schemaRef ds:uri="http://schemas.openxmlformats.org/officeDocument/2006/bibliography"/>
  </ds:schemaRefs>
</ds:datastoreItem>
</file>

<file path=customXml/itemProps4.xml><?xml version="1.0" encoding="utf-8"?>
<ds:datastoreItem xmlns:ds="http://schemas.openxmlformats.org/officeDocument/2006/customXml" ds:itemID="{BE8BFD72-C7C6-4D92-A887-1D7013321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97a66-ba2d-48e4-9d68-8cc8022919ec"/>
    <ds:schemaRef ds:uri="f9824fa9-da6f-4490-98fe-361cd420e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D2C24F-46AD-441B-AD79-DBB50B4B2C95}">
  <ds:schemaRefs>
    <ds:schemaRef ds:uri="http://schemas.microsoft.com/office/2006/metadata/properties"/>
    <ds:schemaRef ds:uri="http://schemas.microsoft.com/office/infopath/2007/PartnerControls"/>
    <ds:schemaRef ds:uri="f9824fa9-da6f-4490-98fe-361cd420e8e1"/>
    <ds:schemaRef ds:uri="62f97a66-ba2d-48e4-9d68-8cc8022919e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4689</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Factors Affecting Overall Online Course Performance Across Different Platforms</vt:lpstr>
    </vt:vector>
  </TitlesOfParts>
  <Company/>
  <LinksUpToDate>false</LinksUpToDate>
  <CharactersWithSpaces>31355</CharactersWithSpaces>
  <SharedDoc>false</SharedDoc>
  <HLinks>
    <vt:vector size="102" baseType="variant">
      <vt:variant>
        <vt:i4>3538980</vt:i4>
      </vt:variant>
      <vt:variant>
        <vt:i4>84</vt:i4>
      </vt:variant>
      <vt:variant>
        <vt:i4>0</vt:i4>
      </vt:variant>
      <vt:variant>
        <vt:i4>5</vt:i4>
      </vt:variant>
      <vt:variant>
        <vt:lpwstr>https://www.weforum.org/reports/the-future-of-jobs-report-2020</vt:lpwstr>
      </vt:variant>
      <vt:variant>
        <vt:lpwstr/>
      </vt:variant>
      <vt:variant>
        <vt:i4>6226011</vt:i4>
      </vt:variant>
      <vt:variant>
        <vt:i4>81</vt:i4>
      </vt:variant>
      <vt:variant>
        <vt:i4>0</vt:i4>
      </vt:variant>
      <vt:variant>
        <vt:i4>5</vt:i4>
      </vt:variant>
      <vt:variant>
        <vt:lpwstr>https://www.polarismarketresearch.com/industry-analysis/e-learning-market</vt:lpwstr>
      </vt:variant>
      <vt:variant>
        <vt:lpwstr/>
      </vt:variant>
      <vt:variant>
        <vt:i4>65612</vt:i4>
      </vt:variant>
      <vt:variant>
        <vt:i4>78</vt:i4>
      </vt:variant>
      <vt:variant>
        <vt:i4>0</vt:i4>
      </vt:variant>
      <vt:variant>
        <vt:i4>5</vt:i4>
      </vt:variant>
      <vt:variant>
        <vt:lpwstr>https://elearning.adobe.com/2022/03/elearning-trends-in-2022-how-to-leverage-them-to-design-high-impact-ld-programs-for-the-hybrid-workforce/</vt:lpwstr>
      </vt:variant>
      <vt:variant>
        <vt:lpwstr/>
      </vt:variant>
      <vt:variant>
        <vt:i4>4063337</vt:i4>
      </vt:variant>
      <vt:variant>
        <vt:i4>75</vt:i4>
      </vt:variant>
      <vt:variant>
        <vt:i4>0</vt:i4>
      </vt:variant>
      <vt:variant>
        <vt:i4>5</vt:i4>
      </vt:variant>
      <vt:variant>
        <vt:lpwstr>https://doi.org/10.1145/2181037.2181040</vt:lpwstr>
      </vt:variant>
      <vt:variant>
        <vt:lpwstr/>
      </vt:variant>
      <vt:variant>
        <vt:i4>2490474</vt:i4>
      </vt:variant>
      <vt:variant>
        <vt:i4>72</vt:i4>
      </vt:variant>
      <vt:variant>
        <vt:i4>0</vt:i4>
      </vt:variant>
      <vt:variant>
        <vt:i4>5</vt:i4>
      </vt:variant>
      <vt:variant>
        <vt:lpwstr>https://www.businessofapps.com/data/online-courses-app-market/</vt:lpwstr>
      </vt:variant>
      <vt:variant>
        <vt:lpwstr/>
      </vt:variant>
      <vt:variant>
        <vt:i4>3932261</vt:i4>
      </vt:variant>
      <vt:variant>
        <vt:i4>69</vt:i4>
      </vt:variant>
      <vt:variant>
        <vt:i4>0</vt:i4>
      </vt:variant>
      <vt:variant>
        <vt:i4>5</vt:i4>
      </vt:variant>
      <vt:variant>
        <vt:lpwstr>https://www.kaggle.com/datasets/mitul1999/online-courses-usage-and-history-dataset</vt:lpwstr>
      </vt:variant>
      <vt:variant>
        <vt:lpwstr/>
      </vt:variant>
      <vt:variant>
        <vt:i4>1179707</vt:i4>
      </vt:variant>
      <vt:variant>
        <vt:i4>62</vt:i4>
      </vt:variant>
      <vt:variant>
        <vt:i4>0</vt:i4>
      </vt:variant>
      <vt:variant>
        <vt:i4>5</vt:i4>
      </vt:variant>
      <vt:variant>
        <vt:lpwstr/>
      </vt:variant>
      <vt:variant>
        <vt:lpwstr>_Toc190638927</vt:lpwstr>
      </vt:variant>
      <vt:variant>
        <vt:i4>1179707</vt:i4>
      </vt:variant>
      <vt:variant>
        <vt:i4>56</vt:i4>
      </vt:variant>
      <vt:variant>
        <vt:i4>0</vt:i4>
      </vt:variant>
      <vt:variant>
        <vt:i4>5</vt:i4>
      </vt:variant>
      <vt:variant>
        <vt:lpwstr/>
      </vt:variant>
      <vt:variant>
        <vt:lpwstr>_Toc190638926</vt:lpwstr>
      </vt:variant>
      <vt:variant>
        <vt:i4>1179707</vt:i4>
      </vt:variant>
      <vt:variant>
        <vt:i4>50</vt:i4>
      </vt:variant>
      <vt:variant>
        <vt:i4>0</vt:i4>
      </vt:variant>
      <vt:variant>
        <vt:i4>5</vt:i4>
      </vt:variant>
      <vt:variant>
        <vt:lpwstr/>
      </vt:variant>
      <vt:variant>
        <vt:lpwstr>_Toc190638925</vt:lpwstr>
      </vt:variant>
      <vt:variant>
        <vt:i4>1179707</vt:i4>
      </vt:variant>
      <vt:variant>
        <vt:i4>44</vt:i4>
      </vt:variant>
      <vt:variant>
        <vt:i4>0</vt:i4>
      </vt:variant>
      <vt:variant>
        <vt:i4>5</vt:i4>
      </vt:variant>
      <vt:variant>
        <vt:lpwstr/>
      </vt:variant>
      <vt:variant>
        <vt:lpwstr>_Toc190638924</vt:lpwstr>
      </vt:variant>
      <vt:variant>
        <vt:i4>1179707</vt:i4>
      </vt:variant>
      <vt:variant>
        <vt:i4>38</vt:i4>
      </vt:variant>
      <vt:variant>
        <vt:i4>0</vt:i4>
      </vt:variant>
      <vt:variant>
        <vt:i4>5</vt:i4>
      </vt:variant>
      <vt:variant>
        <vt:lpwstr/>
      </vt:variant>
      <vt:variant>
        <vt:lpwstr>_Toc190638923</vt:lpwstr>
      </vt:variant>
      <vt:variant>
        <vt:i4>1179707</vt:i4>
      </vt:variant>
      <vt:variant>
        <vt:i4>32</vt:i4>
      </vt:variant>
      <vt:variant>
        <vt:i4>0</vt:i4>
      </vt:variant>
      <vt:variant>
        <vt:i4>5</vt:i4>
      </vt:variant>
      <vt:variant>
        <vt:lpwstr/>
      </vt:variant>
      <vt:variant>
        <vt:lpwstr>_Toc190638922</vt:lpwstr>
      </vt:variant>
      <vt:variant>
        <vt:i4>1179707</vt:i4>
      </vt:variant>
      <vt:variant>
        <vt:i4>26</vt:i4>
      </vt:variant>
      <vt:variant>
        <vt:i4>0</vt:i4>
      </vt:variant>
      <vt:variant>
        <vt:i4>5</vt:i4>
      </vt:variant>
      <vt:variant>
        <vt:lpwstr/>
      </vt:variant>
      <vt:variant>
        <vt:lpwstr>_Toc190638921</vt:lpwstr>
      </vt:variant>
      <vt:variant>
        <vt:i4>1179707</vt:i4>
      </vt:variant>
      <vt:variant>
        <vt:i4>20</vt:i4>
      </vt:variant>
      <vt:variant>
        <vt:i4>0</vt:i4>
      </vt:variant>
      <vt:variant>
        <vt:i4>5</vt:i4>
      </vt:variant>
      <vt:variant>
        <vt:lpwstr/>
      </vt:variant>
      <vt:variant>
        <vt:lpwstr>_Toc190638920</vt:lpwstr>
      </vt:variant>
      <vt:variant>
        <vt:i4>1114171</vt:i4>
      </vt:variant>
      <vt:variant>
        <vt:i4>14</vt:i4>
      </vt:variant>
      <vt:variant>
        <vt:i4>0</vt:i4>
      </vt:variant>
      <vt:variant>
        <vt:i4>5</vt:i4>
      </vt:variant>
      <vt:variant>
        <vt:lpwstr/>
      </vt:variant>
      <vt:variant>
        <vt:lpwstr>_Toc190638919</vt:lpwstr>
      </vt:variant>
      <vt:variant>
        <vt:i4>1114171</vt:i4>
      </vt:variant>
      <vt:variant>
        <vt:i4>8</vt:i4>
      </vt:variant>
      <vt:variant>
        <vt:i4>0</vt:i4>
      </vt:variant>
      <vt:variant>
        <vt:i4>5</vt:i4>
      </vt:variant>
      <vt:variant>
        <vt:lpwstr/>
      </vt:variant>
      <vt:variant>
        <vt:lpwstr>_Toc190638918</vt:lpwstr>
      </vt:variant>
      <vt:variant>
        <vt:i4>1114171</vt:i4>
      </vt:variant>
      <vt:variant>
        <vt:i4>2</vt:i4>
      </vt:variant>
      <vt:variant>
        <vt:i4>0</vt:i4>
      </vt:variant>
      <vt:variant>
        <vt:i4>5</vt:i4>
      </vt:variant>
      <vt:variant>
        <vt:lpwstr/>
      </vt:variant>
      <vt:variant>
        <vt:lpwstr>_Toc190638917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Affecting Overall Online Course Performance Across Different Platforms</dc:title>
  <dc:subject>Le Thu Ha Tran (737215598)</dc:subject>
  <dc:creator>Waruni Hewage</dc:creator>
  <cp:keywords/>
  <dc:description/>
  <cp:lastModifiedBy>Ha Tran</cp:lastModifiedBy>
  <cp:revision>2</cp:revision>
  <cp:lastPrinted>2025-03-28T07:25:00Z</cp:lastPrinted>
  <dcterms:created xsi:type="dcterms:W3CDTF">2025-06-30T11:34:00Z</dcterms:created>
  <dcterms:modified xsi:type="dcterms:W3CDTF">2025-06-30T11:34:00Z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0x010100278497938A1B414D8CBA675389FCADE8</vt:lpwstr>
  </property>
  <property fmtid="{D5CDD505-2E9C-101B-9397-08002B2CF9AE}" pid="3" name="ClassificationContentMarkingFooterShapeIds">
    <vt:lpwstr>79eb07a2,3bfe8ac0,6a0b36f2</vt:lpwstr>
  </property>
  <property fmtid="{D5CDD505-2E9C-101B-9397-08002B2CF9AE}" pid="4" name="ClassificationContentMarkingFooterFontProps">
    <vt:lpwstr>#000000,7,Calibri</vt:lpwstr>
  </property>
  <property fmtid="{D5CDD505-2E9C-101B-9397-08002B2CF9AE}" pid="5" name="ClassificationContentMarkingFooterText">
    <vt:lpwstr>Classification: In-Confidence</vt:lpwstr>
  </property>
  <property fmtid="{D5CDD505-2E9C-101B-9397-08002B2CF9AE}" pid="6" name="MSIP_Label_d2b2326c-f811-4ccc-abcb-1b955c303c2e_Enabled">
    <vt:lpwstr>true</vt:lpwstr>
  </property>
  <property fmtid="{D5CDD505-2E9C-101B-9397-08002B2CF9AE}" pid="7" name="MSIP_Label_d2b2326c-f811-4ccc-abcb-1b955c303c2e_SetDate">
    <vt:lpwstr>2025-02-09T23:24:54Z</vt:lpwstr>
  </property>
  <property fmtid="{D5CDD505-2E9C-101B-9397-08002B2CF9AE}" pid="8" name="MSIP_Label_d2b2326c-f811-4ccc-abcb-1b955c303c2e_Method">
    <vt:lpwstr>Standard</vt:lpwstr>
  </property>
  <property fmtid="{D5CDD505-2E9C-101B-9397-08002B2CF9AE}" pid="9" name="MSIP_Label_d2b2326c-f811-4ccc-abcb-1b955c303c2e_Name">
    <vt:lpwstr>In-Confidence</vt:lpwstr>
  </property>
  <property fmtid="{D5CDD505-2E9C-101B-9397-08002B2CF9AE}" pid="10" name="MSIP_Label_d2b2326c-f811-4ccc-abcb-1b955c303c2e_SiteId">
    <vt:lpwstr>dc781727-710e-4855-bc4c-690266a1b551</vt:lpwstr>
  </property>
  <property fmtid="{D5CDD505-2E9C-101B-9397-08002B2CF9AE}" pid="11" name="MSIP_Label_d2b2326c-f811-4ccc-abcb-1b955c303c2e_ActionId">
    <vt:lpwstr>d534e6d2-c65e-4ed6-b621-a7f75844e56a</vt:lpwstr>
  </property>
  <property fmtid="{D5CDD505-2E9C-101B-9397-08002B2CF9AE}" pid="12" name="MSIP_Label_d2b2326c-f811-4ccc-abcb-1b955c303c2e_ContentBits">
    <vt:lpwstr>2</vt:lpwstr>
  </property>
</Properties>
</file>