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AF26" w14:textId="2DBEA582" w:rsidR="00FD7773" w:rsidRDefault="00256679" w:rsidP="00C75833">
      <w:pPr>
        <w:jc w:val="center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noProof/>
          <w:color w:val="000080"/>
          <w:sz w:val="20"/>
          <w:szCs w:val="20"/>
        </w:rPr>
        <w:drawing>
          <wp:inline distT="0" distB="0" distL="0" distR="0" wp14:anchorId="05E046F8" wp14:editId="2F5D8D5F">
            <wp:extent cx="5778500" cy="1111250"/>
            <wp:effectExtent l="0" t="0" r="0" b="0"/>
            <wp:docPr id="25275658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56583" name="Picture 1" descr="A close-up of a logo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21" cy="111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ECE5" w14:textId="77777777" w:rsidR="00EC23DD" w:rsidRDefault="00EC23DD" w:rsidP="00197D38">
      <w:pPr>
        <w:pStyle w:val="CommentText"/>
        <w:jc w:val="center"/>
        <w:rPr>
          <w:rFonts w:ascii="Helvetica" w:eastAsia="Times New Roman" w:hAnsi="Helvetica" w:cs="Helvetica"/>
          <w:b/>
          <w:bCs/>
          <w:kern w:val="28"/>
          <w:szCs w:val="36"/>
          <w:lang w:val="en-GB"/>
        </w:rPr>
      </w:pPr>
    </w:p>
    <w:p w14:paraId="14D9C77D" w14:textId="77777777" w:rsidR="003266E4" w:rsidRDefault="003266E4" w:rsidP="00197D38">
      <w:pPr>
        <w:pStyle w:val="CommentText"/>
        <w:jc w:val="center"/>
        <w:rPr>
          <w:rFonts w:ascii="Helvetica" w:eastAsia="Times New Roman" w:hAnsi="Helvetica" w:cs="Helvetica"/>
          <w:b/>
          <w:bCs/>
          <w:kern w:val="28"/>
          <w:szCs w:val="36"/>
          <w:lang w:val="en-GB"/>
        </w:rPr>
      </w:pPr>
    </w:p>
    <w:p w14:paraId="41A7B630" w14:textId="6E577AA4" w:rsidR="00B968B4" w:rsidRPr="00B968B4" w:rsidRDefault="00B968B4" w:rsidP="002D01E0">
      <w:pPr>
        <w:pStyle w:val="Header"/>
        <w:jc w:val="center"/>
        <w:rPr>
          <w:rFonts w:ascii="Times" w:hAnsi="Times" w:cs="Times"/>
        </w:rPr>
      </w:pPr>
      <w:r w:rsidRPr="00B968B4">
        <w:rPr>
          <w:rFonts w:ascii="Times" w:hAnsi="Times" w:cs="Times"/>
        </w:rPr>
        <w:t>Chemeca 20</w:t>
      </w:r>
      <w:r w:rsidR="007B3CE5">
        <w:rPr>
          <w:rFonts w:ascii="Times" w:hAnsi="Times" w:cs="Times"/>
        </w:rPr>
        <w:t>2</w:t>
      </w:r>
      <w:r w:rsidR="00256679">
        <w:rPr>
          <w:rFonts w:ascii="Times" w:hAnsi="Times" w:cs="Times"/>
        </w:rPr>
        <w:t>6</w:t>
      </w:r>
      <w:r w:rsidR="00F16A97">
        <w:rPr>
          <w:rFonts w:ascii="Times" w:hAnsi="Times" w:cs="Times"/>
        </w:rPr>
        <w:t xml:space="preserve"> and Hazards Australasia</w:t>
      </w:r>
    </w:p>
    <w:p w14:paraId="5A051965" w14:textId="505BB8CC" w:rsidR="00B968B4" w:rsidRPr="00B968B4" w:rsidRDefault="00F16A97" w:rsidP="002D01E0">
      <w:pPr>
        <w:pStyle w:val="Header"/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28 – 30 September, </w:t>
      </w:r>
      <w:r w:rsidR="00256679">
        <w:rPr>
          <w:rFonts w:ascii="Times" w:hAnsi="Times" w:cs="Times"/>
        </w:rPr>
        <w:t>Melbourne</w:t>
      </w:r>
      <w:r>
        <w:rPr>
          <w:rFonts w:ascii="Times" w:hAnsi="Times" w:cs="Times"/>
        </w:rPr>
        <w:t xml:space="preserve">, </w:t>
      </w:r>
      <w:r w:rsidR="00256679">
        <w:rPr>
          <w:rFonts w:ascii="Times" w:hAnsi="Times" w:cs="Times"/>
        </w:rPr>
        <w:t>Australia</w:t>
      </w:r>
    </w:p>
    <w:p w14:paraId="10AC0CE3" w14:textId="11696829" w:rsidR="00FD7773" w:rsidRDefault="00C80AFB" w:rsidP="00FD7773">
      <w:pPr>
        <w:pStyle w:val="Title"/>
      </w:pPr>
      <w:r w:rsidRPr="00C80AFB">
        <w:t>New charge transfer mechanism via droplet “picks up” surface charge</w:t>
      </w:r>
    </w:p>
    <w:p w14:paraId="33772819" w14:textId="64169920" w:rsidR="00FD7773" w:rsidRDefault="009C46E8" w:rsidP="00FD7773">
      <w:pPr>
        <w:pStyle w:val="Authorname"/>
      </w:pPr>
      <w:r w:rsidRPr="009C46E8">
        <w:t>Shuaijia Chen</w:t>
      </w:r>
      <w:r w:rsidRPr="009C46E8">
        <w:rPr>
          <w:vertAlign w:val="superscript"/>
        </w:rPr>
        <w:t>1</w:t>
      </w:r>
      <w:r w:rsidRPr="009C46E8">
        <w:t>, Peter C. Sherrell</w:t>
      </w:r>
      <w:r w:rsidRPr="009C46E8">
        <w:rPr>
          <w:vertAlign w:val="superscript"/>
        </w:rPr>
        <w:t>1,2</w:t>
      </w:r>
      <w:r w:rsidRPr="009C46E8">
        <w:t>, Amanda V. Ellis</w:t>
      </w:r>
      <w:r w:rsidRPr="009C46E8">
        <w:rPr>
          <w:vertAlign w:val="superscript"/>
        </w:rPr>
        <w:t>1</w:t>
      </w:r>
      <w:r w:rsidRPr="009C46E8">
        <w:t>, Joseph D. Berry</w:t>
      </w:r>
      <w:r w:rsidRPr="009C46E8">
        <w:rPr>
          <w:vertAlign w:val="superscript"/>
        </w:rPr>
        <w:t>1</w:t>
      </w:r>
      <w:r>
        <w:t xml:space="preserve"> </w:t>
      </w:r>
    </w:p>
    <w:p w14:paraId="4D5163E0" w14:textId="77777777" w:rsidR="00E4576E" w:rsidRPr="003323B5" w:rsidRDefault="00E4576E" w:rsidP="00FD7773">
      <w:pPr>
        <w:pStyle w:val="Authorname"/>
      </w:pPr>
    </w:p>
    <w:p w14:paraId="170985C5" w14:textId="3261BC2E" w:rsidR="00E4576E" w:rsidRPr="001226F9" w:rsidRDefault="00E4576E" w:rsidP="00AD74A3">
      <w:pPr>
        <w:pStyle w:val="BodyTex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2"/>
          <w:szCs w:val="22"/>
        </w:rPr>
      </w:pPr>
      <w:r w:rsidRPr="001226F9">
        <w:rPr>
          <w:sz w:val="22"/>
          <w:szCs w:val="22"/>
        </w:rPr>
        <w:t>Department of Chemical Engineering, The University of Melbourne, Parkville, 3010, Victoria Australia</w:t>
      </w:r>
    </w:p>
    <w:p w14:paraId="0F470399" w14:textId="77777777" w:rsidR="00AD74A3" w:rsidRPr="00DF689C" w:rsidRDefault="00AD74A3" w:rsidP="00AD74A3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064A8FBC" w14:textId="77777777" w:rsidR="00E4576E" w:rsidRDefault="00E4576E" w:rsidP="00E4576E">
      <w:pPr>
        <w:pStyle w:val="Authorname"/>
        <w:rPr>
          <w:lang w:val="en-US"/>
        </w:rPr>
      </w:pPr>
      <w:r>
        <w:rPr>
          <w:lang w:val="en-US"/>
        </w:rPr>
        <w:t xml:space="preserve">2. </w:t>
      </w:r>
      <w:r w:rsidRPr="004E1D44">
        <w:rPr>
          <w:lang w:val="en-US"/>
        </w:rPr>
        <w:t>School of Science, RMIT University, Melbourne, 3000, Victoria, Australia</w:t>
      </w:r>
    </w:p>
    <w:p w14:paraId="44E5C7F5" w14:textId="77777777" w:rsidR="00AD74A3" w:rsidRDefault="00AD74A3" w:rsidP="00E4576E">
      <w:pPr>
        <w:pStyle w:val="Authorname"/>
        <w:rPr>
          <w:lang w:val="en-US"/>
        </w:rPr>
      </w:pPr>
    </w:p>
    <w:p w14:paraId="1DD866B0" w14:textId="64C5ABBE" w:rsidR="00FD7773" w:rsidRPr="00AD74A3" w:rsidRDefault="00FD7773" w:rsidP="00E4576E">
      <w:pPr>
        <w:pStyle w:val="Authorname"/>
        <w:rPr>
          <w:lang w:val="de-DE"/>
        </w:rPr>
      </w:pPr>
      <w:r w:rsidRPr="00AD74A3">
        <w:rPr>
          <w:lang w:val="de-DE"/>
        </w:rPr>
        <w:t>E-mail</w:t>
      </w:r>
      <w:r w:rsidR="00AD74A3" w:rsidRPr="00F069AE">
        <w:rPr>
          <w:lang w:val="de-DE"/>
        </w:rPr>
        <w:t>: shuaijiac@student.unimelb.edu.au</w:t>
      </w:r>
    </w:p>
    <w:p w14:paraId="11E82E01" w14:textId="77777777" w:rsidR="00FD7773" w:rsidRPr="00CD1A67" w:rsidRDefault="00FD7773" w:rsidP="00FD7773">
      <w:pPr>
        <w:pStyle w:val="Heading"/>
      </w:pPr>
      <w:r w:rsidRPr="00570422">
        <w:t>ABSTRACT</w:t>
      </w:r>
    </w:p>
    <w:p w14:paraId="6B2AC99F" w14:textId="0736D0EC" w:rsidR="001226F9" w:rsidRPr="00364915" w:rsidRDefault="001226F9" w:rsidP="00780F38">
      <w:pPr>
        <w:pStyle w:val="Abstract"/>
        <w:spacing w:line="360" w:lineRule="auto"/>
        <w:rPr>
          <w:i w:val="0"/>
          <w:sz w:val="22"/>
          <w:szCs w:val="18"/>
        </w:rPr>
      </w:pPr>
      <w:r w:rsidRPr="00364915">
        <w:rPr>
          <w:i w:val="0"/>
          <w:sz w:val="22"/>
          <w:szCs w:val="18"/>
        </w:rPr>
        <w:t>Liquids flowing over solids occur everywhere in life, from droplets down a windscreen to fuels flowing through pipes. While it has been observed that surface charging (electrification) can occur from this solid-liquid motion, the role of interfacial forces acting on the electrification of the solid-liquid interface remains poorly understood.</w:t>
      </w:r>
      <w:r w:rsidR="00EB4D55" w:rsidRPr="00364915">
        <w:rPr>
          <w:i w:val="0"/>
          <w:sz w:val="22"/>
          <w:szCs w:val="18"/>
        </w:rPr>
        <w:t xml:space="preserve"> </w:t>
      </w:r>
      <w:r w:rsidR="00AB20EA" w:rsidRPr="00364915">
        <w:rPr>
          <w:i w:val="0"/>
          <w:sz w:val="22"/>
          <w:szCs w:val="18"/>
        </w:rPr>
        <w:t xml:space="preserve">Most studies suggest that electrification only occurs </w:t>
      </w:r>
      <w:r w:rsidR="00B65C7B">
        <w:rPr>
          <w:i w:val="0"/>
          <w:sz w:val="22"/>
          <w:szCs w:val="18"/>
        </w:rPr>
        <w:t>at</w:t>
      </w:r>
      <w:r w:rsidR="00B65C7B" w:rsidRPr="00364915">
        <w:rPr>
          <w:i w:val="0"/>
          <w:sz w:val="22"/>
          <w:szCs w:val="18"/>
        </w:rPr>
        <w:t xml:space="preserve"> </w:t>
      </w:r>
      <w:r w:rsidR="00AB20EA" w:rsidRPr="00364915">
        <w:rPr>
          <w:i w:val="0"/>
          <w:sz w:val="22"/>
          <w:szCs w:val="18"/>
        </w:rPr>
        <w:t xml:space="preserve">the </w:t>
      </w:r>
      <w:r w:rsidR="00B65C7B">
        <w:rPr>
          <w:i w:val="0"/>
          <w:sz w:val="22"/>
          <w:szCs w:val="18"/>
        </w:rPr>
        <w:t xml:space="preserve">receding </w:t>
      </w:r>
      <w:r w:rsidR="00AB20EA" w:rsidRPr="00364915">
        <w:rPr>
          <w:i w:val="0"/>
          <w:sz w:val="22"/>
          <w:szCs w:val="18"/>
        </w:rPr>
        <w:t>contact line</w:t>
      </w:r>
      <w:r w:rsidR="00B65C7B">
        <w:rPr>
          <w:i w:val="0"/>
          <w:sz w:val="22"/>
          <w:szCs w:val="18"/>
        </w:rPr>
        <w:t>, i.e.</w:t>
      </w:r>
      <w:r w:rsidR="00AB20EA" w:rsidRPr="00364915">
        <w:rPr>
          <w:i w:val="0"/>
          <w:sz w:val="22"/>
          <w:szCs w:val="18"/>
        </w:rPr>
        <w:t xml:space="preserve"> as the surface is dewetted. However, we observe that charge transfer </w:t>
      </w:r>
      <w:r w:rsidR="00B65C7B">
        <w:rPr>
          <w:i w:val="0"/>
          <w:sz w:val="22"/>
          <w:szCs w:val="18"/>
        </w:rPr>
        <w:t xml:space="preserve">can also </w:t>
      </w:r>
      <w:r w:rsidR="00AB20EA" w:rsidRPr="00364915">
        <w:rPr>
          <w:i w:val="0"/>
          <w:sz w:val="22"/>
          <w:szCs w:val="18"/>
        </w:rPr>
        <w:t>occur during the wetting stage.</w:t>
      </w:r>
      <w:r w:rsidR="00EB4D55" w:rsidRPr="00364915">
        <w:rPr>
          <w:i w:val="0"/>
          <w:sz w:val="22"/>
          <w:szCs w:val="18"/>
        </w:rPr>
        <w:t xml:space="preserve"> </w:t>
      </w:r>
      <w:r w:rsidR="007E5F4F" w:rsidRPr="00364915">
        <w:rPr>
          <w:bCs/>
          <w:i w:val="0"/>
          <w:sz w:val="22"/>
          <w:szCs w:val="18"/>
        </w:rPr>
        <w:t xml:space="preserve">In this 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>study</w:t>
      </w:r>
      <w:r w:rsidR="007E5F4F" w:rsidRPr="00364915">
        <w:rPr>
          <w:bCs/>
          <w:i w:val="0"/>
          <w:sz w:val="22"/>
          <w:szCs w:val="18"/>
        </w:rPr>
        <w:t>,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 xml:space="preserve"> the </w:t>
      </w:r>
      <w:r w:rsidR="007E5F4F" w:rsidRPr="00364915">
        <w:rPr>
          <w:bCs/>
          <w:i w:val="0"/>
          <w:sz w:val="22"/>
          <w:szCs w:val="18"/>
        </w:rPr>
        <w:t>sessile drop method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 xml:space="preserve">, </w:t>
      </w:r>
      <w:r w:rsidR="007E5F4F" w:rsidRPr="00364915">
        <w:rPr>
          <w:bCs/>
          <w:i w:val="0"/>
          <w:sz w:val="22"/>
          <w:szCs w:val="18"/>
        </w:rPr>
        <w:t>combin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>ed</w:t>
      </w:r>
      <w:r w:rsidR="007E5F4F" w:rsidRPr="00364915">
        <w:rPr>
          <w:bCs/>
          <w:i w:val="0"/>
          <w:sz w:val="22"/>
          <w:szCs w:val="18"/>
        </w:rPr>
        <w:t xml:space="preserve"> with charge measurements</w:t>
      </w:r>
      <w:r w:rsidR="0026687D">
        <w:rPr>
          <w:bCs/>
          <w:i w:val="0"/>
          <w:sz w:val="22"/>
          <w:szCs w:val="18"/>
        </w:rPr>
        <w:t>,</w:t>
      </w:r>
      <w:r w:rsidR="007E5F4F" w:rsidRPr="00364915">
        <w:rPr>
          <w:bCs/>
          <w:i w:val="0"/>
          <w:sz w:val="22"/>
          <w:szCs w:val="18"/>
        </w:rPr>
        <w:t xml:space="preserve"> is 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>introduced</w:t>
      </w:r>
      <w:r w:rsidR="007E5F4F" w:rsidRPr="00364915">
        <w:rPr>
          <w:bCs/>
          <w:i w:val="0"/>
          <w:sz w:val="22"/>
          <w:szCs w:val="18"/>
        </w:rPr>
        <w:t xml:space="preserve"> to investigate </w:t>
      </w:r>
      <w:r w:rsidR="007E5F4F" w:rsidRPr="00364915">
        <w:rPr>
          <w:rFonts w:hint="eastAsia"/>
          <w:bCs/>
          <w:i w:val="0"/>
          <w:sz w:val="22"/>
          <w:szCs w:val="18"/>
          <w:lang w:eastAsia="zh-CN"/>
        </w:rPr>
        <w:t>electrification within the solid-liquid interface</w:t>
      </w:r>
      <w:r w:rsidR="007E5F4F" w:rsidRPr="00364915">
        <w:rPr>
          <w:bCs/>
          <w:i w:val="0"/>
          <w:sz w:val="22"/>
          <w:szCs w:val="18"/>
        </w:rPr>
        <w:t>.</w:t>
      </w:r>
      <w:r w:rsidR="00EB4D55" w:rsidRPr="00364915">
        <w:rPr>
          <w:i w:val="0"/>
          <w:sz w:val="22"/>
          <w:szCs w:val="18"/>
        </w:rPr>
        <w:t xml:space="preserve"> </w:t>
      </w:r>
      <w:r w:rsidR="00380C95">
        <w:rPr>
          <w:i w:val="0"/>
          <w:sz w:val="22"/>
          <w:szCs w:val="18"/>
        </w:rPr>
        <w:t>We propose the</w:t>
      </w:r>
      <w:r w:rsidR="00380C95" w:rsidRPr="00364915">
        <w:rPr>
          <w:i w:val="0"/>
          <w:sz w:val="22"/>
          <w:szCs w:val="18"/>
        </w:rPr>
        <w:t xml:space="preserve"> </w:t>
      </w:r>
      <w:r w:rsidRPr="00364915">
        <w:rPr>
          <w:i w:val="0"/>
          <w:sz w:val="22"/>
          <w:szCs w:val="18"/>
        </w:rPr>
        <w:t xml:space="preserve">hypothesis that the </w:t>
      </w:r>
      <w:r w:rsidR="00380C95">
        <w:rPr>
          <w:i w:val="0"/>
          <w:sz w:val="22"/>
          <w:szCs w:val="18"/>
        </w:rPr>
        <w:t xml:space="preserve">particular </w:t>
      </w:r>
      <w:r w:rsidRPr="00364915">
        <w:rPr>
          <w:i w:val="0"/>
          <w:sz w:val="22"/>
          <w:szCs w:val="18"/>
        </w:rPr>
        <w:t xml:space="preserve">surface treatment method </w:t>
      </w:r>
      <w:r w:rsidR="00380C95">
        <w:rPr>
          <w:i w:val="0"/>
          <w:sz w:val="22"/>
          <w:szCs w:val="18"/>
        </w:rPr>
        <w:t xml:space="preserve">used can </w:t>
      </w:r>
      <w:r w:rsidRPr="00364915">
        <w:rPr>
          <w:i w:val="0"/>
          <w:sz w:val="22"/>
          <w:szCs w:val="18"/>
        </w:rPr>
        <w:t xml:space="preserve">lead to </w:t>
      </w:r>
      <w:r w:rsidR="00863818">
        <w:rPr>
          <w:i w:val="0"/>
          <w:sz w:val="22"/>
          <w:szCs w:val="18"/>
        </w:rPr>
        <w:t xml:space="preserve">substantial </w:t>
      </w:r>
      <w:r w:rsidR="0022147C">
        <w:rPr>
          <w:i w:val="0"/>
          <w:sz w:val="22"/>
          <w:szCs w:val="18"/>
        </w:rPr>
        <w:t>variations</w:t>
      </w:r>
      <w:r w:rsidR="00863818">
        <w:rPr>
          <w:i w:val="0"/>
          <w:sz w:val="22"/>
          <w:szCs w:val="18"/>
        </w:rPr>
        <w:t xml:space="preserve"> in the amount of surface charge transferred between the solid and the liquid</w:t>
      </w:r>
      <w:r w:rsidRPr="00364915">
        <w:rPr>
          <w:i w:val="0"/>
          <w:sz w:val="22"/>
          <w:szCs w:val="18"/>
        </w:rPr>
        <w:t xml:space="preserve">. </w:t>
      </w:r>
      <w:r w:rsidR="00863818">
        <w:rPr>
          <w:i w:val="0"/>
          <w:sz w:val="22"/>
          <w:szCs w:val="18"/>
        </w:rPr>
        <w:t xml:space="preserve">The surface treatment methods considered </w:t>
      </w:r>
      <w:r w:rsidR="0022147C">
        <w:rPr>
          <w:i w:val="0"/>
          <w:sz w:val="22"/>
          <w:szCs w:val="18"/>
        </w:rPr>
        <w:t>involve</w:t>
      </w:r>
      <w:r w:rsidR="00863818">
        <w:rPr>
          <w:i w:val="0"/>
          <w:sz w:val="22"/>
          <w:szCs w:val="18"/>
        </w:rPr>
        <w:t xml:space="preserve"> controlling the amount of surface charge present using </w:t>
      </w:r>
      <w:r w:rsidRPr="00364915">
        <w:rPr>
          <w:i w:val="0"/>
          <w:sz w:val="22"/>
          <w:szCs w:val="18"/>
        </w:rPr>
        <w:t>an ion blower or ion gun</w:t>
      </w:r>
      <w:r w:rsidR="00863818">
        <w:rPr>
          <w:i w:val="0"/>
          <w:sz w:val="22"/>
          <w:szCs w:val="18"/>
        </w:rPr>
        <w:t xml:space="preserve">. </w:t>
      </w:r>
      <w:r w:rsidR="00DB2DFD">
        <w:rPr>
          <w:i w:val="0"/>
          <w:sz w:val="22"/>
          <w:szCs w:val="18"/>
        </w:rPr>
        <w:t xml:space="preserve">We measure the resultant charge transfer on </w:t>
      </w:r>
      <w:r w:rsidRPr="00364915">
        <w:rPr>
          <w:i w:val="0"/>
          <w:sz w:val="22"/>
          <w:szCs w:val="18"/>
        </w:rPr>
        <w:t>different polymer surfaces (PTFE and Nylon)</w:t>
      </w:r>
      <w:r w:rsidR="00DB2DFD">
        <w:rPr>
          <w:i w:val="0"/>
          <w:sz w:val="22"/>
          <w:szCs w:val="18"/>
        </w:rPr>
        <w:t xml:space="preserve">, and show that </w:t>
      </w:r>
      <w:r w:rsidRPr="00364915">
        <w:rPr>
          <w:i w:val="0"/>
          <w:sz w:val="22"/>
          <w:szCs w:val="18"/>
        </w:rPr>
        <w:t xml:space="preserve">the droplet “picks up” deposited surface charges </w:t>
      </w:r>
      <w:r w:rsidR="00DB2DFD">
        <w:rPr>
          <w:i w:val="0"/>
          <w:sz w:val="22"/>
          <w:szCs w:val="18"/>
        </w:rPr>
        <w:t>as it wets the surface</w:t>
      </w:r>
      <w:r w:rsidRPr="00364915">
        <w:rPr>
          <w:i w:val="0"/>
          <w:sz w:val="22"/>
          <w:szCs w:val="18"/>
        </w:rPr>
        <w:t xml:space="preserve">. We also observe that </w:t>
      </w:r>
      <w:r w:rsidR="0022147C">
        <w:rPr>
          <w:i w:val="0"/>
          <w:sz w:val="22"/>
          <w:szCs w:val="18"/>
        </w:rPr>
        <w:t xml:space="preserve">the </w:t>
      </w:r>
      <w:r w:rsidR="00DB2DFD">
        <w:rPr>
          <w:i w:val="0"/>
          <w:sz w:val="22"/>
          <w:szCs w:val="18"/>
        </w:rPr>
        <w:t xml:space="preserve">drop mobility is increased as </w:t>
      </w:r>
      <w:r w:rsidRPr="00364915">
        <w:rPr>
          <w:i w:val="0"/>
          <w:sz w:val="22"/>
          <w:szCs w:val="18"/>
        </w:rPr>
        <w:t xml:space="preserve">the </w:t>
      </w:r>
      <w:r w:rsidR="00DB2DFD">
        <w:rPr>
          <w:i w:val="0"/>
          <w:sz w:val="22"/>
          <w:szCs w:val="18"/>
        </w:rPr>
        <w:t xml:space="preserve">amount of </w:t>
      </w:r>
      <w:r w:rsidRPr="00364915">
        <w:rPr>
          <w:i w:val="0"/>
          <w:sz w:val="22"/>
          <w:szCs w:val="18"/>
        </w:rPr>
        <w:t xml:space="preserve">surface charge </w:t>
      </w:r>
      <w:r w:rsidR="00DB2DFD">
        <w:rPr>
          <w:i w:val="0"/>
          <w:sz w:val="22"/>
          <w:szCs w:val="18"/>
        </w:rPr>
        <w:t>increases</w:t>
      </w:r>
      <w:r w:rsidRPr="00364915">
        <w:rPr>
          <w:i w:val="0"/>
          <w:sz w:val="22"/>
          <w:szCs w:val="18"/>
        </w:rPr>
        <w:t>. Furthermore, once the magnitude of surface charge density exceeds a certain threshold (Rayleigh limit), the droplet tends to split into multiple smaller droplets.</w:t>
      </w:r>
      <w:r w:rsidR="00D50096" w:rsidRPr="00364915">
        <w:rPr>
          <w:i w:val="0"/>
          <w:sz w:val="22"/>
          <w:szCs w:val="18"/>
        </w:rPr>
        <w:t xml:space="preserve"> </w:t>
      </w:r>
      <w:r w:rsidRPr="00364915">
        <w:rPr>
          <w:bCs/>
          <w:i w:val="0"/>
          <w:sz w:val="22"/>
          <w:szCs w:val="18"/>
        </w:rPr>
        <w:t xml:space="preserve">Understanding </w:t>
      </w:r>
      <w:r w:rsidRPr="00364915">
        <w:rPr>
          <w:bCs/>
          <w:i w:val="0"/>
          <w:sz w:val="22"/>
          <w:szCs w:val="18"/>
          <w:lang w:eastAsia="zh-CN"/>
        </w:rPr>
        <w:t>this</w:t>
      </w:r>
      <w:r w:rsidRPr="00364915">
        <w:rPr>
          <w:bCs/>
          <w:i w:val="0"/>
          <w:sz w:val="22"/>
          <w:szCs w:val="18"/>
        </w:rPr>
        <w:t xml:space="preserve"> electrification mechanism </w:t>
      </w:r>
      <w:r w:rsidRPr="00364915">
        <w:rPr>
          <w:rFonts w:hint="eastAsia"/>
          <w:bCs/>
          <w:i w:val="0"/>
          <w:sz w:val="22"/>
          <w:szCs w:val="18"/>
          <w:lang w:eastAsia="zh-CN"/>
        </w:rPr>
        <w:t>will</w:t>
      </w:r>
      <w:r w:rsidRPr="00364915">
        <w:rPr>
          <w:bCs/>
          <w:i w:val="0"/>
          <w:sz w:val="22"/>
          <w:szCs w:val="18"/>
        </w:rPr>
        <w:t xml:space="preserve"> r</w:t>
      </w:r>
      <w:r w:rsidRPr="00364915">
        <w:rPr>
          <w:rFonts w:hint="eastAsia"/>
          <w:bCs/>
          <w:i w:val="0"/>
          <w:sz w:val="22"/>
          <w:szCs w:val="18"/>
          <w:lang w:eastAsia="zh-CN"/>
        </w:rPr>
        <w:t>einforce</w:t>
      </w:r>
      <w:r w:rsidRPr="00364915">
        <w:rPr>
          <w:bCs/>
          <w:i w:val="0"/>
          <w:sz w:val="22"/>
          <w:szCs w:val="18"/>
        </w:rPr>
        <w:t xml:space="preserve"> the design of energy harvesters with </w:t>
      </w:r>
      <w:r w:rsidRPr="00364915">
        <w:rPr>
          <w:rFonts w:hint="eastAsia"/>
          <w:bCs/>
          <w:i w:val="0"/>
          <w:sz w:val="22"/>
          <w:szCs w:val="18"/>
          <w:lang w:eastAsia="zh-CN"/>
        </w:rPr>
        <w:t>improved</w:t>
      </w:r>
      <w:r w:rsidRPr="00364915">
        <w:rPr>
          <w:bCs/>
          <w:i w:val="0"/>
          <w:sz w:val="22"/>
          <w:szCs w:val="18"/>
        </w:rPr>
        <w:t xml:space="preserve"> efficiency and aid </w:t>
      </w:r>
      <w:r w:rsidRPr="00364915">
        <w:rPr>
          <w:bCs/>
          <w:i w:val="0"/>
          <w:sz w:val="22"/>
          <w:szCs w:val="18"/>
          <w:lang w:eastAsia="zh-CN"/>
        </w:rPr>
        <w:t>development of</w:t>
      </w:r>
      <w:r w:rsidRPr="00364915">
        <w:rPr>
          <w:rFonts w:hint="eastAsia"/>
          <w:bCs/>
          <w:i w:val="0"/>
          <w:sz w:val="22"/>
          <w:szCs w:val="18"/>
          <w:lang w:eastAsia="zh-CN"/>
        </w:rPr>
        <w:t xml:space="preserve"> risk </w:t>
      </w:r>
      <w:r w:rsidRPr="00364915">
        <w:rPr>
          <w:bCs/>
          <w:i w:val="0"/>
          <w:sz w:val="22"/>
          <w:szCs w:val="18"/>
        </w:rPr>
        <w:t>mitigation strategies for</w:t>
      </w:r>
      <w:r w:rsidR="00372EBE" w:rsidRPr="00364915">
        <w:rPr>
          <w:bCs/>
          <w:i w:val="0"/>
          <w:sz w:val="22"/>
          <w:szCs w:val="18"/>
          <w:lang w:eastAsia="zh-CN"/>
        </w:rPr>
        <w:t xml:space="preserve"> </w:t>
      </w:r>
      <w:r w:rsidRPr="00364915">
        <w:rPr>
          <w:rFonts w:hint="eastAsia"/>
          <w:bCs/>
          <w:i w:val="0"/>
          <w:sz w:val="22"/>
          <w:szCs w:val="18"/>
          <w:lang w:eastAsia="zh-CN"/>
        </w:rPr>
        <w:t>eliminating electrostatic accumulation across</w:t>
      </w:r>
      <w:r w:rsidRPr="00364915">
        <w:rPr>
          <w:bCs/>
          <w:i w:val="0"/>
          <w:sz w:val="22"/>
          <w:szCs w:val="18"/>
        </w:rPr>
        <w:t xml:space="preserve"> real-world industrial applications</w:t>
      </w:r>
      <w:r w:rsidRPr="00364915">
        <w:rPr>
          <w:i w:val="0"/>
          <w:sz w:val="22"/>
          <w:szCs w:val="18"/>
        </w:rPr>
        <w:t>.</w:t>
      </w:r>
    </w:p>
    <w:p w14:paraId="364354BC" w14:textId="77777777" w:rsidR="004A1B0A" w:rsidRPr="00CD1A67" w:rsidRDefault="004A1B0A" w:rsidP="003E0D30">
      <w:pPr>
        <w:pStyle w:val="Heading"/>
      </w:pPr>
      <w:r>
        <w:t>KEY WORDS</w:t>
      </w:r>
    </w:p>
    <w:p w14:paraId="39D39AB3" w14:textId="47BB41C4" w:rsidR="00C73756" w:rsidRPr="00780F38" w:rsidRDefault="00525659" w:rsidP="003E0D30">
      <w:pPr>
        <w:pStyle w:val="Abstract"/>
        <w:jc w:val="center"/>
        <w:rPr>
          <w:i w:val="0"/>
          <w:iCs/>
          <w:sz w:val="22"/>
          <w:szCs w:val="18"/>
        </w:rPr>
      </w:pPr>
      <w:r w:rsidRPr="00780F38">
        <w:rPr>
          <w:i w:val="0"/>
          <w:iCs/>
          <w:sz w:val="22"/>
          <w:szCs w:val="18"/>
        </w:rPr>
        <w:t xml:space="preserve">Solid-liquid </w:t>
      </w:r>
      <w:r w:rsidR="00551EBE" w:rsidRPr="00780F38">
        <w:rPr>
          <w:bCs/>
          <w:i w:val="0"/>
          <w:iCs/>
          <w:sz w:val="22"/>
          <w:szCs w:val="18"/>
        </w:rPr>
        <w:t>interface</w:t>
      </w:r>
      <w:r w:rsidRPr="00780F38">
        <w:rPr>
          <w:i w:val="0"/>
          <w:iCs/>
          <w:sz w:val="22"/>
          <w:szCs w:val="18"/>
        </w:rPr>
        <w:t>,</w:t>
      </w:r>
      <w:r w:rsidR="00551EBE" w:rsidRPr="00780F38">
        <w:rPr>
          <w:i w:val="0"/>
          <w:iCs/>
          <w:sz w:val="22"/>
          <w:szCs w:val="18"/>
        </w:rPr>
        <w:t xml:space="preserve"> charge transfer,</w:t>
      </w:r>
      <w:r w:rsidRPr="00780F38">
        <w:rPr>
          <w:i w:val="0"/>
          <w:iCs/>
          <w:sz w:val="22"/>
          <w:szCs w:val="18"/>
        </w:rPr>
        <w:t xml:space="preserve"> </w:t>
      </w:r>
      <w:r w:rsidR="00AB20EA" w:rsidRPr="00780F38">
        <w:rPr>
          <w:i w:val="0"/>
          <w:iCs/>
          <w:sz w:val="22"/>
          <w:szCs w:val="18"/>
        </w:rPr>
        <w:t xml:space="preserve">surface charge, </w:t>
      </w:r>
      <w:r w:rsidR="00D50096" w:rsidRPr="00780F38">
        <w:rPr>
          <w:i w:val="0"/>
          <w:iCs/>
          <w:sz w:val="22"/>
          <w:szCs w:val="18"/>
        </w:rPr>
        <w:t>electrification</w:t>
      </w:r>
      <w:r w:rsidR="00FB7FB4" w:rsidRPr="00780F38">
        <w:rPr>
          <w:i w:val="0"/>
          <w:iCs/>
          <w:sz w:val="22"/>
          <w:szCs w:val="18"/>
        </w:rPr>
        <w:t>, wetting, dewetting</w:t>
      </w:r>
    </w:p>
    <w:p w14:paraId="11A27F0E" w14:textId="061CE741" w:rsidR="00FD7773" w:rsidRPr="0096779B" w:rsidRDefault="00FD7773" w:rsidP="0096779B">
      <w:pPr>
        <w:pStyle w:val="Heading"/>
      </w:pPr>
      <w:r w:rsidRPr="00CD1A67">
        <w:lastRenderedPageBreak/>
        <w:t>BIOGRAPHY</w:t>
      </w:r>
    </w:p>
    <w:p w14:paraId="16978CEE" w14:textId="23276B54" w:rsidR="0096779B" w:rsidRPr="00780F38" w:rsidRDefault="005405D8" w:rsidP="00780F38">
      <w:pPr>
        <w:spacing w:line="360" w:lineRule="auto"/>
        <w:jc w:val="both"/>
        <w:rPr>
          <w:rFonts w:ascii="Times New Roman" w:hAnsi="Times New Roman"/>
          <w:lang w:val="en-US"/>
        </w:rPr>
      </w:pPr>
      <w:r w:rsidRPr="00780F38">
        <w:rPr>
          <w:rFonts w:ascii="Times New Roman" w:hAnsi="Times New Roman"/>
          <w:lang w:val="en-US"/>
        </w:rPr>
        <w:t xml:space="preserve">Shuaijia Chen, </w:t>
      </w:r>
      <w:r w:rsidR="0096779B" w:rsidRPr="00780F38">
        <w:rPr>
          <w:rFonts w:ascii="Times New Roman" w:hAnsi="Times New Roman"/>
          <w:lang w:val="en-US"/>
        </w:rPr>
        <w:t>4</w:t>
      </w:r>
      <w:r w:rsidR="0096779B" w:rsidRPr="00780F38">
        <w:rPr>
          <w:rFonts w:ascii="Times New Roman" w:hAnsi="Times New Roman"/>
          <w:vertAlign w:val="superscript"/>
          <w:lang w:val="en-US"/>
        </w:rPr>
        <w:t>th</w:t>
      </w:r>
      <w:r w:rsidR="0096779B" w:rsidRPr="00780F38">
        <w:rPr>
          <w:rFonts w:ascii="Times New Roman" w:hAnsi="Times New Roman"/>
          <w:lang w:val="en-US"/>
        </w:rPr>
        <w:t xml:space="preserve"> year PhD student</w:t>
      </w:r>
      <w:r w:rsidR="00372EBE" w:rsidRPr="00780F38">
        <w:rPr>
          <w:rFonts w:ascii="Times New Roman" w:hAnsi="Times New Roman"/>
          <w:lang w:val="en-US"/>
        </w:rPr>
        <w:t xml:space="preserve">, focusing on the </w:t>
      </w:r>
      <w:r w:rsidRPr="00780F38">
        <w:rPr>
          <w:rFonts w:ascii="Times New Roman" w:hAnsi="Times New Roman"/>
          <w:lang w:val="en-US"/>
        </w:rPr>
        <w:t>electrification phenomena within the solid-liquid interface</w:t>
      </w:r>
      <w:r w:rsidR="00A25CB2" w:rsidRPr="00780F38">
        <w:rPr>
          <w:rFonts w:ascii="Times New Roman" w:hAnsi="Times New Roman"/>
          <w:lang w:val="en-US"/>
        </w:rPr>
        <w:t xml:space="preserve"> through the</w:t>
      </w:r>
      <w:r w:rsidR="00C83A2C" w:rsidRPr="00780F38">
        <w:rPr>
          <w:rFonts w:ascii="Times New Roman" w:hAnsi="Times New Roman"/>
          <w:lang w:val="en-US"/>
        </w:rPr>
        <w:t xml:space="preserve"> interaction of</w:t>
      </w:r>
      <w:r w:rsidR="00780F38" w:rsidRPr="00780F38">
        <w:rPr>
          <w:rFonts w:ascii="Times New Roman" w:hAnsi="Times New Roman"/>
          <w:lang w:val="en-US"/>
        </w:rPr>
        <w:t xml:space="preserve"> water droplet (</w:t>
      </w:r>
      <w:r w:rsidR="00A25CB2" w:rsidRPr="00780F38">
        <w:rPr>
          <w:rFonts w:ascii="Times New Roman" w:hAnsi="Times New Roman"/>
          <w:lang w:val="en-US"/>
        </w:rPr>
        <w:t>wetting and de</w:t>
      </w:r>
      <w:r w:rsidR="00C83A2C" w:rsidRPr="00780F38">
        <w:rPr>
          <w:rFonts w:ascii="Times New Roman" w:hAnsi="Times New Roman"/>
          <w:lang w:val="en-US"/>
        </w:rPr>
        <w:t>wetting</w:t>
      </w:r>
      <w:r w:rsidR="00780F38" w:rsidRPr="00780F38">
        <w:rPr>
          <w:rFonts w:ascii="Times New Roman" w:hAnsi="Times New Roman"/>
          <w:lang w:val="en-US"/>
        </w:rPr>
        <w:t>) on dielectric polymer surfaces at</w:t>
      </w:r>
      <w:r w:rsidR="00FF5EF2" w:rsidRPr="00780F38">
        <w:rPr>
          <w:rFonts w:ascii="Times New Roman" w:hAnsi="Times New Roman"/>
          <w:lang w:val="en-US"/>
        </w:rPr>
        <w:t xml:space="preserve"> the University of Melbourne.</w:t>
      </w:r>
    </w:p>
    <w:p w14:paraId="21F0EBF8" w14:textId="77777777" w:rsidR="00FD7773" w:rsidRPr="00780F38" w:rsidRDefault="00FD7773" w:rsidP="00780F38">
      <w:pPr>
        <w:jc w:val="both"/>
        <w:rPr>
          <w:rFonts w:ascii="Times New Roman" w:hAnsi="Times New Roman"/>
          <w:color w:val="000080"/>
          <w:sz w:val="20"/>
          <w:szCs w:val="20"/>
          <w:lang w:val="en-US"/>
        </w:rPr>
      </w:pPr>
    </w:p>
    <w:p w14:paraId="4504A528" w14:textId="626CB5C5" w:rsidR="002D6FF0" w:rsidRPr="00CD1A67" w:rsidRDefault="002D6FF0" w:rsidP="002D6FF0">
      <w:pPr>
        <w:pStyle w:val="Heading"/>
      </w:pPr>
      <w:r>
        <w:t>Conference Program</w:t>
      </w:r>
    </w:p>
    <w:p w14:paraId="178A37B6" w14:textId="77777777" w:rsidR="002D6FF0" w:rsidRDefault="002D6FF0"/>
    <w:p w14:paraId="32993F31" w14:textId="4E182233" w:rsidR="00251FF4" w:rsidRDefault="002D6FF0">
      <w:r>
        <w:t>Please indicate which conference program your abstract relates to:</w:t>
      </w:r>
    </w:p>
    <w:p w14:paraId="7FDF76B1" w14:textId="77777777" w:rsidR="002D6FF0" w:rsidRDefault="002D6FF0"/>
    <w:p w14:paraId="3FF485FE" w14:textId="77777777" w:rsidR="002D6FF0" w:rsidRDefault="002D6FF0"/>
    <w:p w14:paraId="6365BDC3" w14:textId="25DDD580" w:rsidR="002D6FF0" w:rsidRDefault="002D6FF0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Hazards Australasia</w:t>
      </w:r>
    </w:p>
    <w:p w14:paraId="21FE2FEE" w14:textId="77777777" w:rsidR="002D6FF0" w:rsidRDefault="002D6FF0"/>
    <w:p w14:paraId="13C259C5" w14:textId="7A55BF64" w:rsidR="002D6FF0" w:rsidRDefault="00AD74A3">
      <w:r>
        <w:fldChar w:fldCharType="begin">
          <w:ffData>
            <w:name w:val="Check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2D6FF0">
        <w:t xml:space="preserve"> Chemeca</w:t>
      </w:r>
    </w:p>
    <w:p w14:paraId="64F877B0" w14:textId="77777777" w:rsidR="002D6FF0" w:rsidRDefault="002D6FF0"/>
    <w:sectPr w:rsidR="002D6FF0" w:rsidSect="004A7E1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2F03" w14:textId="77777777" w:rsidR="00196D04" w:rsidRDefault="00196D04" w:rsidP="00732EFA">
      <w:r>
        <w:separator/>
      </w:r>
    </w:p>
  </w:endnote>
  <w:endnote w:type="continuationSeparator" w:id="0">
    <w:p w14:paraId="73C3AC23" w14:textId="77777777" w:rsidR="00196D04" w:rsidRDefault="00196D04" w:rsidP="007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B0F8" w14:textId="77777777" w:rsidR="00196D04" w:rsidRDefault="00196D04" w:rsidP="00732EFA">
      <w:r>
        <w:separator/>
      </w:r>
    </w:p>
  </w:footnote>
  <w:footnote w:type="continuationSeparator" w:id="0">
    <w:p w14:paraId="2D6F4068" w14:textId="77777777" w:rsidR="00196D04" w:rsidRDefault="00196D04" w:rsidP="00732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58C2"/>
    <w:multiLevelType w:val="hybridMultilevel"/>
    <w:tmpl w:val="65421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773"/>
    <w:rsid w:val="00047678"/>
    <w:rsid w:val="00080554"/>
    <w:rsid w:val="00097F1C"/>
    <w:rsid w:val="000D07C3"/>
    <w:rsid w:val="000D3074"/>
    <w:rsid w:val="000F36F0"/>
    <w:rsid w:val="001226F9"/>
    <w:rsid w:val="00140D38"/>
    <w:rsid w:val="001679D1"/>
    <w:rsid w:val="00196D04"/>
    <w:rsid w:val="00197D38"/>
    <w:rsid w:val="001E5E88"/>
    <w:rsid w:val="00200D64"/>
    <w:rsid w:val="0022147C"/>
    <w:rsid w:val="002468D1"/>
    <w:rsid w:val="00251FF4"/>
    <w:rsid w:val="00255A48"/>
    <w:rsid w:val="00256679"/>
    <w:rsid w:val="00263713"/>
    <w:rsid w:val="0026687D"/>
    <w:rsid w:val="002A3F23"/>
    <w:rsid w:val="002D01E0"/>
    <w:rsid w:val="002D6FF0"/>
    <w:rsid w:val="002E26F7"/>
    <w:rsid w:val="003266E4"/>
    <w:rsid w:val="003414A0"/>
    <w:rsid w:val="00364915"/>
    <w:rsid w:val="00372EBE"/>
    <w:rsid w:val="00380C95"/>
    <w:rsid w:val="00390EBF"/>
    <w:rsid w:val="003E0D30"/>
    <w:rsid w:val="003E4CE2"/>
    <w:rsid w:val="0040294E"/>
    <w:rsid w:val="0046278E"/>
    <w:rsid w:val="00472D62"/>
    <w:rsid w:val="00477822"/>
    <w:rsid w:val="00480D86"/>
    <w:rsid w:val="00487F31"/>
    <w:rsid w:val="004920BC"/>
    <w:rsid w:val="00496EAA"/>
    <w:rsid w:val="004A1B0A"/>
    <w:rsid w:val="004A7E12"/>
    <w:rsid w:val="005236D2"/>
    <w:rsid w:val="00525659"/>
    <w:rsid w:val="0052720A"/>
    <w:rsid w:val="005405D8"/>
    <w:rsid w:val="00551EBE"/>
    <w:rsid w:val="005C4444"/>
    <w:rsid w:val="005E6845"/>
    <w:rsid w:val="0062635A"/>
    <w:rsid w:val="006501A0"/>
    <w:rsid w:val="006A64F6"/>
    <w:rsid w:val="006B3B47"/>
    <w:rsid w:val="00732EFA"/>
    <w:rsid w:val="00780F38"/>
    <w:rsid w:val="007B3CE5"/>
    <w:rsid w:val="007E5F4F"/>
    <w:rsid w:val="00833D48"/>
    <w:rsid w:val="00840C1D"/>
    <w:rsid w:val="00863818"/>
    <w:rsid w:val="008669F8"/>
    <w:rsid w:val="0089117F"/>
    <w:rsid w:val="008914E6"/>
    <w:rsid w:val="008937A9"/>
    <w:rsid w:val="00903BF3"/>
    <w:rsid w:val="0093408B"/>
    <w:rsid w:val="00944B3B"/>
    <w:rsid w:val="009510E2"/>
    <w:rsid w:val="00961132"/>
    <w:rsid w:val="0096779B"/>
    <w:rsid w:val="009749F4"/>
    <w:rsid w:val="009923D9"/>
    <w:rsid w:val="009B2AB9"/>
    <w:rsid w:val="009C46E8"/>
    <w:rsid w:val="009D2A08"/>
    <w:rsid w:val="00A25CB2"/>
    <w:rsid w:val="00A40D77"/>
    <w:rsid w:val="00A51A28"/>
    <w:rsid w:val="00A54A2F"/>
    <w:rsid w:val="00A56CF9"/>
    <w:rsid w:val="00A77E78"/>
    <w:rsid w:val="00AB20EA"/>
    <w:rsid w:val="00AB662E"/>
    <w:rsid w:val="00AD74A3"/>
    <w:rsid w:val="00AF4E0A"/>
    <w:rsid w:val="00B01724"/>
    <w:rsid w:val="00B45BAC"/>
    <w:rsid w:val="00B65C7B"/>
    <w:rsid w:val="00B72F50"/>
    <w:rsid w:val="00B968B4"/>
    <w:rsid w:val="00C54F32"/>
    <w:rsid w:val="00C73756"/>
    <w:rsid w:val="00C75833"/>
    <w:rsid w:val="00C80AFB"/>
    <w:rsid w:val="00C83A2C"/>
    <w:rsid w:val="00CC6236"/>
    <w:rsid w:val="00CE2E70"/>
    <w:rsid w:val="00D11E3D"/>
    <w:rsid w:val="00D21353"/>
    <w:rsid w:val="00D34C5A"/>
    <w:rsid w:val="00D41CD3"/>
    <w:rsid w:val="00D50096"/>
    <w:rsid w:val="00D87E11"/>
    <w:rsid w:val="00DB2DFD"/>
    <w:rsid w:val="00DE69F4"/>
    <w:rsid w:val="00E31BE1"/>
    <w:rsid w:val="00E4576E"/>
    <w:rsid w:val="00E6102C"/>
    <w:rsid w:val="00EB05CE"/>
    <w:rsid w:val="00EB4D55"/>
    <w:rsid w:val="00EC23DD"/>
    <w:rsid w:val="00EE0B4A"/>
    <w:rsid w:val="00EF47B4"/>
    <w:rsid w:val="00F16A97"/>
    <w:rsid w:val="00F43CCF"/>
    <w:rsid w:val="00F5493E"/>
    <w:rsid w:val="00FB7FB4"/>
    <w:rsid w:val="00FD0B66"/>
    <w:rsid w:val="00FD7773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65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7773"/>
    <w:rPr>
      <w:sz w:val="22"/>
      <w:szCs w:val="22"/>
      <w:lang w:val="en-AU" w:eastAsia="en-US"/>
    </w:rPr>
  </w:style>
  <w:style w:type="paragraph" w:styleId="Heading1">
    <w:name w:val="heading 1"/>
    <w:basedOn w:val="Heading2"/>
    <w:next w:val="Body"/>
    <w:link w:val="Heading1Char"/>
    <w:autoRedefine/>
    <w:qFormat/>
    <w:rsid w:val="00FD7773"/>
    <w:pPr>
      <w:outlineLvl w:val="0"/>
    </w:pPr>
    <w:rPr>
      <w:i w:val="0"/>
    </w:rPr>
  </w:style>
  <w:style w:type="paragraph" w:styleId="Heading2">
    <w:name w:val="heading 2"/>
    <w:basedOn w:val="Heading3"/>
    <w:next w:val="Body"/>
    <w:link w:val="Heading2Char"/>
    <w:autoRedefine/>
    <w:qFormat/>
    <w:rsid w:val="00FD7773"/>
    <w:pPr>
      <w:keepNext w:val="0"/>
      <w:keepLines w:val="0"/>
      <w:widowControl w:val="0"/>
      <w:autoSpaceDE w:val="0"/>
      <w:autoSpaceDN w:val="0"/>
      <w:spacing w:before="120"/>
      <w:outlineLvl w:val="1"/>
    </w:pPr>
    <w:rPr>
      <w:rFonts w:ascii="Times" w:hAnsi="Times" w:cs="Times"/>
      <w:i/>
      <w:noProof/>
      <w:color w:val="auto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77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7773"/>
    <w:rPr>
      <w:rFonts w:ascii="Times" w:eastAsia="Times New Roman" w:hAnsi="Times" w:cs="Times"/>
      <w:b/>
      <w:bCs/>
      <w:noProof/>
      <w:szCs w:val="20"/>
      <w:lang w:val="en-US"/>
    </w:rPr>
  </w:style>
  <w:style w:type="character" w:customStyle="1" w:styleId="Heading2Char">
    <w:name w:val="Heading 2 Char"/>
    <w:link w:val="Heading2"/>
    <w:rsid w:val="00FD7773"/>
    <w:rPr>
      <w:rFonts w:ascii="Times" w:eastAsia="Times New Roman" w:hAnsi="Times" w:cs="Times"/>
      <w:b/>
      <w:bCs/>
      <w:i/>
      <w:noProof/>
      <w:szCs w:val="20"/>
      <w:lang w:val="en-US"/>
    </w:rPr>
  </w:style>
  <w:style w:type="paragraph" w:customStyle="1" w:styleId="Subheading">
    <w:name w:val="Subheading"/>
    <w:basedOn w:val="Body"/>
    <w:rsid w:val="00FD7773"/>
  </w:style>
  <w:style w:type="paragraph" w:customStyle="1" w:styleId="Body">
    <w:name w:val="Body"/>
    <w:link w:val="BodyChar"/>
    <w:qFormat/>
    <w:rsid w:val="00FD7773"/>
    <w:pPr>
      <w:widowControl w:val="0"/>
      <w:autoSpaceDE w:val="0"/>
      <w:autoSpaceDN w:val="0"/>
      <w:spacing w:before="120"/>
      <w:jc w:val="both"/>
    </w:pPr>
    <w:rPr>
      <w:rFonts w:ascii="Times" w:eastAsia="Times New Roman" w:hAnsi="Times" w:cs="Times"/>
      <w:noProof/>
      <w:sz w:val="22"/>
      <w:lang w:val="en-US" w:eastAsia="en-US"/>
    </w:rPr>
  </w:style>
  <w:style w:type="paragraph" w:customStyle="1" w:styleId="Authorname">
    <w:name w:val="Author name"/>
    <w:basedOn w:val="Body"/>
    <w:qFormat/>
    <w:rsid w:val="00FD7773"/>
    <w:pPr>
      <w:jc w:val="center"/>
    </w:pPr>
    <w:rPr>
      <w:noProof w:val="0"/>
      <w:szCs w:val="22"/>
      <w:lang w:val="en-GB"/>
    </w:rPr>
  </w:style>
  <w:style w:type="paragraph" w:styleId="Title">
    <w:name w:val="Title"/>
    <w:basedOn w:val="Heading"/>
    <w:link w:val="TitleChar"/>
    <w:qFormat/>
    <w:rsid w:val="00FD7773"/>
    <w:pPr>
      <w:spacing w:after="240"/>
      <w:outlineLvl w:val="9"/>
    </w:pPr>
    <w:rPr>
      <w:rFonts w:ascii="Helvetica" w:hAnsi="Helvetica" w:cs="Helvetica"/>
      <w:bCs/>
      <w:caps w:val="0"/>
      <w:kern w:val="28"/>
      <w:sz w:val="36"/>
      <w:szCs w:val="36"/>
    </w:rPr>
  </w:style>
  <w:style w:type="character" w:customStyle="1" w:styleId="TitleChar">
    <w:name w:val="Title Char"/>
    <w:link w:val="Title"/>
    <w:rsid w:val="00FD7773"/>
    <w:rPr>
      <w:rFonts w:ascii="Helvetica" w:eastAsia="Times New Roman" w:hAnsi="Helvetica" w:cs="Helvetica"/>
      <w:b/>
      <w:bCs/>
      <w:kern w:val="28"/>
      <w:sz w:val="36"/>
      <w:szCs w:val="36"/>
      <w:lang w:val="en-GB"/>
    </w:rPr>
  </w:style>
  <w:style w:type="paragraph" w:customStyle="1" w:styleId="Figure">
    <w:name w:val="Figure"/>
    <w:basedOn w:val="Normal"/>
    <w:qFormat/>
    <w:rsid w:val="00FD7773"/>
    <w:pPr>
      <w:spacing w:before="120" w:after="120"/>
      <w:jc w:val="center"/>
    </w:pPr>
    <w:rPr>
      <w:rFonts w:ascii="Times New Roman" w:hAnsi="Times New Roman"/>
      <w:b/>
      <w:bCs/>
    </w:rPr>
  </w:style>
  <w:style w:type="paragraph" w:customStyle="1" w:styleId="Reference">
    <w:name w:val="Reference"/>
    <w:basedOn w:val="Body"/>
    <w:qFormat/>
    <w:rsid w:val="00FD7773"/>
    <w:pPr>
      <w:ind w:left="340" w:hanging="340"/>
    </w:pPr>
  </w:style>
  <w:style w:type="paragraph" w:customStyle="1" w:styleId="Heading">
    <w:name w:val="Heading"/>
    <w:basedOn w:val="Heading1"/>
    <w:next w:val="Body"/>
    <w:qFormat/>
    <w:rsid w:val="00FD7773"/>
    <w:pPr>
      <w:keepNext/>
      <w:spacing w:before="240"/>
      <w:jc w:val="center"/>
    </w:pPr>
    <w:rPr>
      <w:bCs w:val="0"/>
      <w:caps/>
      <w:noProof w:val="0"/>
      <w:lang w:val="en-GB"/>
    </w:rPr>
  </w:style>
  <w:style w:type="paragraph" w:customStyle="1" w:styleId="Abstract">
    <w:name w:val="Abstract"/>
    <w:basedOn w:val="Body"/>
    <w:link w:val="AbstractChar"/>
    <w:qFormat/>
    <w:rsid w:val="00FD7773"/>
    <w:rPr>
      <w:i/>
      <w:sz w:val="24"/>
    </w:rPr>
  </w:style>
  <w:style w:type="paragraph" w:customStyle="1" w:styleId="HyperlinksBodywithCourier">
    <w:name w:val="Hyperlinks (Body with Courier)"/>
    <w:basedOn w:val="Body"/>
    <w:next w:val="Body"/>
    <w:link w:val="HyperlinksBodywithCourierChar"/>
    <w:qFormat/>
    <w:rsid w:val="00FD7773"/>
    <w:rPr>
      <w:rFonts w:ascii="Courier" w:hAnsi="Courier" w:cs="Courier"/>
    </w:rPr>
  </w:style>
  <w:style w:type="character" w:customStyle="1" w:styleId="BodyChar">
    <w:name w:val="Body Char"/>
    <w:link w:val="Body"/>
    <w:rsid w:val="00FD7773"/>
    <w:rPr>
      <w:rFonts w:ascii="Times" w:eastAsia="Times New Roman" w:hAnsi="Times" w:cs="Times"/>
      <w:noProof/>
      <w:szCs w:val="20"/>
      <w:lang w:val="en-US"/>
    </w:rPr>
  </w:style>
  <w:style w:type="character" w:customStyle="1" w:styleId="AbstractChar">
    <w:name w:val="Abstract Char"/>
    <w:link w:val="Abstract"/>
    <w:rsid w:val="00FD7773"/>
    <w:rPr>
      <w:rFonts w:ascii="Times" w:eastAsia="Times New Roman" w:hAnsi="Times" w:cs="Times"/>
      <w:i/>
      <w:noProof/>
      <w:sz w:val="24"/>
      <w:szCs w:val="20"/>
      <w:lang w:val="en-US"/>
    </w:rPr>
  </w:style>
  <w:style w:type="character" w:customStyle="1" w:styleId="HyperlinksBodywithCourierChar">
    <w:name w:val="Hyperlinks (Body with Courier) Char"/>
    <w:link w:val="HyperlinksBodywithCourier"/>
    <w:rsid w:val="00FD7773"/>
    <w:rPr>
      <w:rFonts w:ascii="Courier" w:eastAsia="Times New Roman" w:hAnsi="Courier" w:cs="Courier"/>
      <w:noProof/>
      <w:szCs w:val="20"/>
      <w:lang w:val="en-US"/>
    </w:rPr>
  </w:style>
  <w:style w:type="character" w:customStyle="1" w:styleId="Heading3Char">
    <w:name w:val="Heading 3 Char"/>
    <w:link w:val="Heading3"/>
    <w:uiPriority w:val="9"/>
    <w:semiHidden/>
    <w:rsid w:val="00FD7773"/>
    <w:rPr>
      <w:rFonts w:ascii="Cambria" w:eastAsia="Times New Roman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77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968B4"/>
    <w:pPr>
      <w:suppressAutoHyphens/>
      <w:jc w:val="both"/>
    </w:pPr>
    <w:rPr>
      <w:rFonts w:eastAsia="Times New Roman" w:cs="Arial"/>
      <w:i/>
      <w:iCs/>
      <w:sz w:val="20"/>
      <w:szCs w:val="20"/>
      <w:lang w:val="en-GB" w:eastAsia="ar-SA"/>
    </w:rPr>
  </w:style>
  <w:style w:type="character" w:customStyle="1" w:styleId="HeaderChar">
    <w:name w:val="Header Char"/>
    <w:link w:val="Header"/>
    <w:uiPriority w:val="99"/>
    <w:rsid w:val="00B968B4"/>
    <w:rPr>
      <w:rFonts w:eastAsia="Times New Roman" w:cs="Arial"/>
      <w:i/>
      <w:iCs/>
      <w:lang w:val="en-GB" w:eastAsia="ar-SA"/>
    </w:rPr>
  </w:style>
  <w:style w:type="character" w:styleId="CommentReference">
    <w:name w:val="annotation reference"/>
    <w:uiPriority w:val="99"/>
    <w:semiHidden/>
    <w:unhideWhenUsed/>
    <w:rsid w:val="00FD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B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D0B6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D0B66"/>
    <w:rPr>
      <w:b/>
      <w:bCs/>
      <w:lang w:eastAsia="en-US"/>
    </w:rPr>
  </w:style>
  <w:style w:type="paragraph" w:styleId="BodyText">
    <w:name w:val="Body Text"/>
    <w:basedOn w:val="Normal"/>
    <w:link w:val="BodyTextChar"/>
    <w:rsid w:val="00E457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Times New Roman" w:eastAsiaTheme="minorEastAsia" w:hAnsi="Times New Roman"/>
      <w:sz w:val="24"/>
      <w:szCs w:val="24"/>
      <w:lang w:val="en-US" w:eastAsia="pt-BR"/>
    </w:rPr>
  </w:style>
  <w:style w:type="character" w:customStyle="1" w:styleId="BodyTextChar">
    <w:name w:val="Body Text Char"/>
    <w:basedOn w:val="DefaultParagraphFont"/>
    <w:link w:val="BodyText"/>
    <w:rsid w:val="00E4576E"/>
    <w:rPr>
      <w:rFonts w:ascii="Times New Roman" w:eastAsiaTheme="minorEastAsia" w:hAnsi="Times New Roman"/>
      <w:sz w:val="24"/>
      <w:szCs w:val="24"/>
      <w:lang w:val="en-US" w:eastAsia="pt-BR"/>
    </w:rPr>
  </w:style>
  <w:style w:type="character" w:styleId="FollowedHyperlink">
    <w:name w:val="FollowedHyperlink"/>
    <w:rsid w:val="00E4576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2E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EFA"/>
    <w:rPr>
      <w:sz w:val="22"/>
      <w:szCs w:val="22"/>
      <w:lang w:val="en-AU" w:eastAsia="en-US"/>
    </w:rPr>
  </w:style>
  <w:style w:type="paragraph" w:styleId="Revision">
    <w:name w:val="Revision"/>
    <w:hidden/>
    <w:uiPriority w:val="99"/>
    <w:semiHidden/>
    <w:rsid w:val="00B65C7B"/>
    <w:rPr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E12437DE9B24399951176085CE240" ma:contentTypeVersion="18" ma:contentTypeDescription="Create a new document." ma:contentTypeScope="" ma:versionID="f5f2d0dbec51079e8c5abc1902176ccc">
  <xsd:schema xmlns:xsd="http://www.w3.org/2001/XMLSchema" xmlns:xs="http://www.w3.org/2001/XMLSchema" xmlns:p="http://schemas.microsoft.com/office/2006/metadata/properties" xmlns:ns2="9844abac-2566-4af2-8188-9b6c22f5b0e2" xmlns:ns3="9d6a7306-6063-488c-b373-36c2cfcf654b" xmlns:ns4="b4e63e3e-d05a-4992-bcbc-79a7026d7978" targetNamespace="http://schemas.microsoft.com/office/2006/metadata/properties" ma:root="true" ma:fieldsID="06feade25cf7a5fcbc4ba852f388746e" ns2:_="" ns3:_="" ns4:_="">
    <xsd:import namespace="9844abac-2566-4af2-8188-9b6c22f5b0e2"/>
    <xsd:import namespace="9d6a7306-6063-488c-b373-36c2cfcf654b"/>
    <xsd:import namespace="b4e63e3e-d05a-4992-bcbc-79a7026d7978"/>
    <xsd:element name="properties">
      <xsd:complexType>
        <xsd:sequence>
          <xsd:element name="documentManagement">
            <xsd:complexType>
              <xsd:all>
                <xsd:element ref="ns2:Asset_x0020_Owner" minOccurs="0"/>
                <xsd:element ref="ns2:Function" minOccurs="0"/>
                <xsd:element ref="ns2:IChemE_x0020_Department" minOccurs="0"/>
                <xsd:element ref="ns2:Retention_x0020_Period" minOccurs="0"/>
                <xsd:element ref="ns2:Secur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abac-2566-4af2-8188-9b6c22f5b0e2" elementFormDefault="qualified">
    <xsd:import namespace="http://schemas.microsoft.com/office/2006/documentManagement/types"/>
    <xsd:import namespace="http://schemas.microsoft.com/office/infopath/2007/PartnerControls"/>
    <xsd:element name="Asset_x0020_Owner" ma:index="8" nillable="true" ma:displayName="Asset Owner" ma:list="UserInfo" ma:SharePointGroup="0" ma:internalName="Asse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unction" ma:index="9" nillable="true" ma:displayName="Function" ma:format="Dropdown" ma:internalName="Function">
      <xsd:simpleType>
        <xsd:restriction base="dms:Choice">
          <xsd:enumeration value="Recruitment"/>
          <xsd:enumeration value="Template"/>
          <xsd:enumeration value="Policy"/>
          <xsd:enumeration value="Minutes"/>
          <xsd:enumeration value="Agenda"/>
          <xsd:enumeration value="Internal Business Document"/>
          <xsd:enumeration value="Meeting Document"/>
          <xsd:enumeration value="Supporting Document"/>
          <xsd:enumeration value="ISO 9001"/>
          <xsd:enumeration value="Other"/>
        </xsd:restriction>
      </xsd:simpleType>
    </xsd:element>
    <xsd:element name="IChemE_x0020_Department" ma:index="10" nillable="true" ma:displayName="IChemE Department" ma:format="Dropdown" ma:internalName="IChemE_x0020_Department">
      <xsd:simpleType>
        <xsd:restriction base="dms:Choice">
          <xsd:enumeration value="Australia"/>
          <xsd:enumeration value="Benevolent Fund"/>
          <xsd:enumeration value="Communications"/>
          <xsd:enumeration value="Commercial"/>
          <xsd:enumeration value="Finance"/>
          <xsd:enumeration value="General"/>
          <xsd:enumeration value="Governance &amp; Corporate"/>
          <xsd:enumeration value="Graphics &amp; Design"/>
          <xsd:enumeration value="HR"/>
          <xsd:enumeration value="IT"/>
          <xsd:enumeration value="Malaysia"/>
          <xsd:enumeration value="Marketing"/>
          <xsd:enumeration value="Membership &amp; Qualifications"/>
          <xsd:enumeration value="New Zealand"/>
          <xsd:enumeration value="Policy &amp; Learned Society"/>
          <xsd:enumeration value="Publications"/>
          <xsd:enumeration value="Regions"/>
          <xsd:enumeration value="Safety Centre"/>
          <xsd:enumeration value="Secretariat"/>
        </xsd:restriction>
      </xsd:simpleType>
    </xsd:element>
    <xsd:element name="Retention_x0020_Period" ma:index="11" nillable="true" ma:displayName="Retention Period" ma:default="6 Years" ma:format="Dropdown" ma:internalName="Retention_x0020_Period">
      <xsd:simpleType>
        <xsd:restriction base="dms:Choice">
          <xsd:enumeration value="N/A"/>
          <xsd:enumeration value="2 Years"/>
          <xsd:enumeration value="6 Years"/>
          <xsd:enumeration value="12 Years"/>
          <xsd:enumeration value="Unknown"/>
        </xsd:restriction>
      </xsd:simpleType>
    </xsd:element>
    <xsd:element name="Security" ma:index="12" nillable="true" ma:displayName="Security" ma:format="Dropdown" ma:internalName="Security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7306-6063-488c-b373-36c2cfcf6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ture" ma:index="25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63e3e-d05a-4992-bcbc-79a7026d797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F16D5-75BF-414F-9DAF-EFF34CF74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4abac-2566-4af2-8188-9b6c22f5b0e2"/>
    <ds:schemaRef ds:uri="9d6a7306-6063-488c-b373-36c2cfcf654b"/>
    <ds:schemaRef ds:uri="b4e63e3e-d05a-4992-bcbc-79a7026d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4BF813-462F-442B-A7D0-E0DE942BF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247F2-2614-A74A-A0B3-056EF423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363</Words>
  <Characters>2260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Links>
    <vt:vector size="6" baseType="variant">
      <vt:variant>
        <vt:i4>3670025</vt:i4>
      </vt:variant>
      <vt:variant>
        <vt:i4>2048</vt:i4>
      </vt:variant>
      <vt:variant>
        <vt:i4>1025</vt:i4>
      </vt:variant>
      <vt:variant>
        <vt:i4>1</vt:i4>
      </vt:variant>
      <vt:variant>
        <vt:lpwstr>Chemeca2021 2728 GENERAL Web banners_HiRes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Geoghegan</dc:creator>
  <cp:keywords/>
  <cp:lastModifiedBy>Shuaijia Chen</cp:lastModifiedBy>
  <cp:revision>40</cp:revision>
  <cp:lastPrinted>2021-03-09T09:58:00Z</cp:lastPrinted>
  <dcterms:created xsi:type="dcterms:W3CDTF">2025-10-29T02:09:00Z</dcterms:created>
  <dcterms:modified xsi:type="dcterms:W3CDTF">2026-04-10T06:43:00Z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0x0101005144375E58E94B4797547602088A153E</vt:lpwstr>
  </property>
  <property fmtid="{D5CDD505-2E9C-101B-9397-08002B2CF9AE}" pid="3" name="Security">
    <vt:lpwstr/>
  </property>
  <property fmtid="{D5CDD505-2E9C-101B-9397-08002B2CF9AE}" pid="4" name="Retention Period">
    <vt:lpwstr>6 Years</vt:lpwstr>
  </property>
  <property fmtid="{D5CDD505-2E9C-101B-9397-08002B2CF9AE}" pid="5" name="Function">
    <vt:lpwstr/>
  </property>
  <property fmtid="{D5CDD505-2E9C-101B-9397-08002B2CF9AE}" pid="6" name="picture">
    <vt:lpwstr>, </vt:lpwstr>
  </property>
  <property fmtid="{D5CDD505-2E9C-101B-9397-08002B2CF9AE}" pid="7" name="IChemE Department">
    <vt:lpwstr/>
  </property>
  <property fmtid="{D5CDD505-2E9C-101B-9397-08002B2CF9AE}" pid="8" name="Asset Owner">
    <vt:lpwstr/>
  </property>
  <property fmtid="{D5CDD505-2E9C-101B-9397-08002B2CF9AE}" pid="9" name="GrammarlyDocumentId">
    <vt:lpwstr>2f3fe8ec-b6f8-4dc1-837c-a65f07cde497</vt:lpwstr>
  </property>
</Properties>
</file>