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AF26" w14:textId="33079FE2" w:rsidR="00FD7773" w:rsidRDefault="00EF47B4" w:rsidP="00C75833">
      <w:pPr>
        <w:jc w:val="center"/>
        <w:rPr>
          <w:rFonts w:ascii="Arial" w:hAnsi="Arial" w:cs="Arial"/>
          <w:color w:val="000080"/>
          <w:sz w:val="20"/>
          <w:szCs w:val="20"/>
        </w:rPr>
      </w:pPr>
      <w:r>
        <w:rPr>
          <w:rFonts w:ascii="Arial" w:hAnsi="Arial" w:cs="Arial"/>
          <w:noProof/>
          <w:color w:val="000080"/>
          <w:sz w:val="20"/>
          <w:szCs w:val="20"/>
        </w:rPr>
        <w:drawing>
          <wp:inline distT="0" distB="0" distL="0" distR="0" wp14:anchorId="468D61FD" wp14:editId="3A9A92A7">
            <wp:extent cx="5731510" cy="1102360"/>
            <wp:effectExtent l="0" t="0" r="2540" b="2540"/>
            <wp:docPr id="1395077553" name="Picture 1"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077553" name="Picture 1" descr="A close up of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31510" cy="1102360"/>
                    </a:xfrm>
                    <a:prstGeom prst="rect">
                      <a:avLst/>
                    </a:prstGeom>
                  </pic:spPr>
                </pic:pic>
              </a:graphicData>
            </a:graphic>
          </wp:inline>
        </w:drawing>
      </w:r>
    </w:p>
    <w:p w14:paraId="10B1ECE5" w14:textId="77777777" w:rsidR="00EC23DD" w:rsidRDefault="00EC23DD" w:rsidP="00197D38">
      <w:pPr>
        <w:pStyle w:val="CommentText"/>
        <w:jc w:val="center"/>
        <w:rPr>
          <w:rFonts w:ascii="Helvetica" w:eastAsia="Times New Roman" w:hAnsi="Helvetica" w:cs="Helvetica"/>
          <w:b/>
          <w:bCs/>
          <w:kern w:val="28"/>
          <w:szCs w:val="36"/>
          <w:lang w:val="en-GB"/>
        </w:rPr>
      </w:pPr>
    </w:p>
    <w:p w14:paraId="14D9C77D" w14:textId="77777777" w:rsidR="003266E4" w:rsidRDefault="003266E4" w:rsidP="00197D38">
      <w:pPr>
        <w:pStyle w:val="CommentText"/>
        <w:jc w:val="center"/>
        <w:rPr>
          <w:rFonts w:ascii="Helvetica" w:eastAsia="Times New Roman" w:hAnsi="Helvetica" w:cs="Helvetica"/>
          <w:b/>
          <w:bCs/>
          <w:kern w:val="28"/>
          <w:szCs w:val="36"/>
          <w:lang w:val="en-GB"/>
        </w:rPr>
      </w:pPr>
    </w:p>
    <w:p w14:paraId="41A7B630" w14:textId="720BE996" w:rsidR="00B968B4" w:rsidRPr="00B968B4" w:rsidRDefault="00B968B4" w:rsidP="002D01E0">
      <w:pPr>
        <w:pStyle w:val="Header"/>
        <w:jc w:val="center"/>
        <w:rPr>
          <w:rFonts w:ascii="Times" w:hAnsi="Times" w:cs="Times"/>
        </w:rPr>
      </w:pPr>
      <w:proofErr w:type="spellStart"/>
      <w:r w:rsidRPr="00B968B4">
        <w:rPr>
          <w:rFonts w:ascii="Times" w:hAnsi="Times" w:cs="Times"/>
        </w:rPr>
        <w:t>Chemeca</w:t>
      </w:r>
      <w:proofErr w:type="spellEnd"/>
      <w:r w:rsidRPr="00B968B4">
        <w:rPr>
          <w:rFonts w:ascii="Times" w:hAnsi="Times" w:cs="Times"/>
        </w:rPr>
        <w:t xml:space="preserve"> 20</w:t>
      </w:r>
      <w:r w:rsidR="007B3CE5">
        <w:rPr>
          <w:rFonts w:ascii="Times" w:hAnsi="Times" w:cs="Times"/>
        </w:rPr>
        <w:t>2</w:t>
      </w:r>
      <w:r w:rsidR="00F16A97">
        <w:rPr>
          <w:rFonts w:ascii="Times" w:hAnsi="Times" w:cs="Times"/>
        </w:rPr>
        <w:t>5 and Hazards Australasia</w:t>
      </w:r>
    </w:p>
    <w:p w14:paraId="5A051965" w14:textId="23EDAA52" w:rsidR="00B968B4" w:rsidRPr="00B968B4" w:rsidRDefault="00F16A97" w:rsidP="002D01E0">
      <w:pPr>
        <w:pStyle w:val="Header"/>
        <w:jc w:val="center"/>
        <w:rPr>
          <w:rFonts w:ascii="Times" w:hAnsi="Times" w:cs="Times"/>
        </w:rPr>
      </w:pPr>
      <w:r>
        <w:rPr>
          <w:rFonts w:ascii="Times" w:hAnsi="Times" w:cs="Times"/>
        </w:rPr>
        <w:t>28 – 30 September, Adelaide, South Australia</w:t>
      </w:r>
    </w:p>
    <w:p w14:paraId="10AC0CE3" w14:textId="61BCFB0E" w:rsidR="00FD7773" w:rsidRDefault="006A2D84" w:rsidP="00FD7773">
      <w:pPr>
        <w:pStyle w:val="Title"/>
      </w:pPr>
      <w:r>
        <w:t xml:space="preserve">Consequence analysis </w:t>
      </w:r>
      <w:r w:rsidR="00D73E7C">
        <w:t>of</w:t>
      </w:r>
      <w:r>
        <w:t xml:space="preserve"> ammonia accidental release</w:t>
      </w:r>
      <w:r w:rsidR="00DF1F12">
        <w:t xml:space="preserve"> in risk assessment</w:t>
      </w:r>
    </w:p>
    <w:p w14:paraId="33772819" w14:textId="706BFC41" w:rsidR="00FD7773" w:rsidRPr="003323B5" w:rsidRDefault="00FD6A06" w:rsidP="00FD7773">
      <w:pPr>
        <w:pStyle w:val="Authorname"/>
      </w:pPr>
      <w:r>
        <w:t>Biao Sun</w:t>
      </w:r>
    </w:p>
    <w:p w14:paraId="7D4A136E" w14:textId="5CCEA903" w:rsidR="00FD7773" w:rsidRPr="003323B5" w:rsidRDefault="002E6E53" w:rsidP="00FD7773">
      <w:pPr>
        <w:pStyle w:val="Authorname"/>
      </w:pPr>
      <w:r>
        <w:t>Curtin University</w:t>
      </w:r>
    </w:p>
    <w:p w14:paraId="1DD866B0" w14:textId="34AD2279" w:rsidR="00FD7773" w:rsidRDefault="002E6E53" w:rsidP="00FD7773">
      <w:pPr>
        <w:pStyle w:val="Authorname"/>
      </w:pPr>
      <w:r>
        <w:t>biao.sun@curtin.edu.au</w:t>
      </w:r>
    </w:p>
    <w:p w14:paraId="11E82E01" w14:textId="77777777" w:rsidR="00FD7773" w:rsidRPr="00CD1A67" w:rsidRDefault="00FD7773" w:rsidP="00FD7773">
      <w:pPr>
        <w:pStyle w:val="Heading"/>
      </w:pPr>
      <w:r w:rsidRPr="00570422">
        <w:t>ABSTRACT</w:t>
      </w:r>
    </w:p>
    <w:p w14:paraId="7223F5AD" w14:textId="4415C3D4" w:rsidR="00320EAB" w:rsidRPr="00320EAB" w:rsidRDefault="00320EAB" w:rsidP="00320EAB">
      <w:pPr>
        <w:pStyle w:val="Abstract"/>
        <w:rPr>
          <w:i w:val="0"/>
          <w:iCs/>
          <w:lang w:val="en-AU"/>
        </w:rPr>
      </w:pPr>
      <w:r w:rsidRPr="00320EAB">
        <w:rPr>
          <w:i w:val="0"/>
          <w:iCs/>
          <w:lang w:val="en-AU"/>
        </w:rPr>
        <w:t>Ammonia is a vital chemical feedstock, with global production reaching 200 million tonnes in 2023—a more</w:t>
      </w:r>
      <w:r>
        <w:rPr>
          <w:i w:val="0"/>
          <w:iCs/>
          <w:lang w:val="en-AU"/>
        </w:rPr>
        <w:t>-</w:t>
      </w:r>
      <w:r w:rsidRPr="00320EAB">
        <w:rPr>
          <w:i w:val="0"/>
          <w:iCs/>
          <w:lang w:val="en-AU"/>
        </w:rPr>
        <w:t>than 40% increase since 2010. Given its strategic role in emerging energy sectors, such as hydrogen carriers and carbon-free fuels, ammonia demand is projected to rise significantly, potentially reaching 500 million tonnes annually by 2050 under the Net Zero Emissions (NZE) scenario, with an estimated yearly increase of over 10 million tonnes. However, the frequency of major ammonia-related incidents has escalated since the 1990s, with release amounts ranging from small leaks to several thousand tonnes. Notable examples include the 1992 Dakar accident, which released 22 tonnes of pressurised ammonia and resulted in hundreds of fatalities and thousands of injuries, and the 1994 Iowa incident involving the release of approximately 5,700 tonnes of anhydrous ammonia.</w:t>
      </w:r>
    </w:p>
    <w:p w14:paraId="6894DEB0" w14:textId="77777777" w:rsidR="00320EAB" w:rsidRPr="00320EAB" w:rsidRDefault="00320EAB" w:rsidP="00320EAB">
      <w:pPr>
        <w:pStyle w:val="Abstract"/>
        <w:rPr>
          <w:i w:val="0"/>
          <w:iCs/>
          <w:lang w:val="en-AU"/>
        </w:rPr>
      </w:pPr>
    </w:p>
    <w:p w14:paraId="322FF50F" w14:textId="7E48C4C0" w:rsidR="00320EAB" w:rsidRPr="00320EAB" w:rsidRDefault="00320EAB" w:rsidP="00320EAB">
      <w:pPr>
        <w:pStyle w:val="Abstract"/>
        <w:rPr>
          <w:i w:val="0"/>
          <w:iCs/>
          <w:lang w:val="en-AU"/>
        </w:rPr>
      </w:pPr>
      <w:r w:rsidRPr="00320EAB">
        <w:rPr>
          <w:i w:val="0"/>
          <w:iCs/>
          <w:lang w:val="en-AU"/>
        </w:rPr>
        <w:t>Although ammonia is less flammable than hydrogen or methane, it is acutely toxic, with a threshold limit value of 25 ppm. Injuries and fatalities near release sites are primarily due to direct skin contact, cold burns, and inhalation, while those farther away are mostly caused by exposure to high concentrations of ammonia gas. A significant concern during accidental releases</w:t>
      </w:r>
      <w:r w:rsidR="009A1E96">
        <w:rPr>
          <w:i w:val="0"/>
          <w:iCs/>
          <w:lang w:val="en-AU"/>
        </w:rPr>
        <w:t xml:space="preserve"> of</w:t>
      </w:r>
      <w:r w:rsidRPr="00320EAB">
        <w:rPr>
          <w:i w:val="0"/>
          <w:iCs/>
          <w:lang w:val="en-AU"/>
        </w:rPr>
        <w:t xml:space="preserve"> ammonia</w:t>
      </w:r>
      <w:r w:rsidR="009A1E96">
        <w:rPr>
          <w:i w:val="0"/>
          <w:iCs/>
          <w:lang w:val="en-AU"/>
        </w:rPr>
        <w:t xml:space="preserve"> i</w:t>
      </w:r>
      <w:r w:rsidRPr="00320EAB">
        <w:rPr>
          <w:i w:val="0"/>
          <w:iCs/>
          <w:lang w:val="en-AU"/>
        </w:rPr>
        <w:t>s</w:t>
      </w:r>
      <w:r w:rsidR="009A1E96">
        <w:rPr>
          <w:i w:val="0"/>
          <w:iCs/>
          <w:lang w:val="en-AU"/>
        </w:rPr>
        <w:t xml:space="preserve"> its</w:t>
      </w:r>
      <w:r w:rsidRPr="00320EAB">
        <w:rPr>
          <w:i w:val="0"/>
          <w:iCs/>
          <w:lang w:val="en-AU"/>
        </w:rPr>
        <w:t xml:space="preserve"> dispersion behaviour. In humid conditions, released ammonia can form an ammonia–water fog (NH₃·H₂O), which behaves as a heavier-than-air cloud, despite ammonia gas alone being lighter than air (0.59 times the density of air). This fog can travel considerable distances near ground level in both downwind and crosswind directions.</w:t>
      </w:r>
    </w:p>
    <w:p w14:paraId="74D9023C" w14:textId="77777777" w:rsidR="00320EAB" w:rsidRPr="00320EAB" w:rsidRDefault="00320EAB" w:rsidP="00320EAB">
      <w:pPr>
        <w:pStyle w:val="Abstract"/>
        <w:rPr>
          <w:i w:val="0"/>
          <w:iCs/>
          <w:lang w:val="en-AU"/>
        </w:rPr>
      </w:pPr>
    </w:p>
    <w:p w14:paraId="2E35EAAC" w14:textId="15394A05" w:rsidR="00204298" w:rsidRPr="00320EAB" w:rsidRDefault="00320EAB" w:rsidP="00320EAB">
      <w:pPr>
        <w:pStyle w:val="Abstract"/>
        <w:rPr>
          <w:i w:val="0"/>
          <w:iCs/>
          <w:lang w:val="en-AU"/>
        </w:rPr>
      </w:pPr>
      <w:r w:rsidRPr="00320EAB">
        <w:rPr>
          <w:i w:val="0"/>
          <w:iCs/>
          <w:lang w:val="en-AU"/>
        </w:rPr>
        <w:t xml:space="preserve">To investigate this phenomenon, a computational fluid dynamics (CFD) model was developed incorporating subroutines to </w:t>
      </w:r>
      <w:r w:rsidR="00BE2DCB">
        <w:rPr>
          <w:i w:val="0"/>
          <w:iCs/>
          <w:lang w:val="en-AU"/>
        </w:rPr>
        <w:t>account for</w:t>
      </w:r>
      <w:r w:rsidRPr="00320EAB">
        <w:rPr>
          <w:i w:val="0"/>
          <w:iCs/>
          <w:lang w:val="en-AU"/>
        </w:rPr>
        <w:t xml:space="preserve"> ammonia–water fog formation. The model was validated using experimental data from published literature. A comprehensive parametric study was conducted, examining the influence of ambient conditions (e.g., temperature, wind speed, and relative humidity), leak characteristics (e.g., pressure, temperature, and release rate), and terrain effects (e.g., open tank farms and indoor environments). The findings contribute to a deeper understanding of ammonia dispersion dynamics and provide valuable insights for risk management in ammonia storage and handling.</w:t>
      </w:r>
    </w:p>
    <w:p w14:paraId="5FCFDDA2" w14:textId="77777777" w:rsidR="00204298" w:rsidRDefault="00204298" w:rsidP="000159DD">
      <w:pPr>
        <w:pStyle w:val="Abstract"/>
        <w:rPr>
          <w:i w:val="0"/>
          <w:iCs/>
        </w:rPr>
      </w:pPr>
    </w:p>
    <w:p w14:paraId="1095DC63" w14:textId="77777777" w:rsidR="00204298" w:rsidRDefault="00204298" w:rsidP="000159DD">
      <w:pPr>
        <w:pStyle w:val="Abstract"/>
      </w:pPr>
    </w:p>
    <w:p w14:paraId="364354BC" w14:textId="77777777" w:rsidR="004A1B0A" w:rsidRPr="00CD1A67" w:rsidRDefault="004A1B0A" w:rsidP="003E0D30">
      <w:pPr>
        <w:pStyle w:val="Heading"/>
      </w:pPr>
      <w:r>
        <w:t>KEY WORDS</w:t>
      </w:r>
    </w:p>
    <w:p w14:paraId="5016923A" w14:textId="5F4E306D" w:rsidR="004A1B0A" w:rsidRPr="00570422" w:rsidRDefault="005D37BE" w:rsidP="003E0D30">
      <w:pPr>
        <w:pStyle w:val="Abstract"/>
        <w:jc w:val="center"/>
      </w:pPr>
      <w:r>
        <w:t xml:space="preserve">Ammonia gas dispersion, </w:t>
      </w:r>
      <w:r w:rsidR="006B67E9">
        <w:t>accidental release, dense gas, risk assessment</w:t>
      </w:r>
    </w:p>
    <w:p w14:paraId="64C713B0" w14:textId="77777777" w:rsidR="00FD7773" w:rsidRPr="00CD1A67" w:rsidRDefault="00FD7773" w:rsidP="003E0D30">
      <w:pPr>
        <w:pStyle w:val="Heading"/>
      </w:pPr>
      <w:r w:rsidRPr="00CD1A67">
        <w:t>BIOGRAPHY</w:t>
      </w:r>
    </w:p>
    <w:p w14:paraId="41FCCDA1" w14:textId="090A4E6F" w:rsidR="005227DA" w:rsidRPr="005227DA" w:rsidRDefault="005227DA" w:rsidP="007C0D1C">
      <w:pPr>
        <w:jc w:val="both"/>
        <w:rPr>
          <w:rFonts w:ascii="Arial" w:hAnsi="Arial" w:cs="Arial"/>
          <w:color w:val="000080"/>
          <w:sz w:val="20"/>
          <w:szCs w:val="20"/>
        </w:rPr>
      </w:pPr>
      <w:r w:rsidRPr="005227DA">
        <w:rPr>
          <w:rFonts w:ascii="Arial" w:hAnsi="Arial" w:cs="Arial"/>
          <w:sz w:val="20"/>
          <w:szCs w:val="20"/>
        </w:rPr>
        <w:t>Dr. Biao Sun is a lecturer at Curtin University with expertise in process risk management and consequence modelling. His PhD research focused on “</w:t>
      </w:r>
      <w:r w:rsidRPr="00DC3D42">
        <w:rPr>
          <w:rFonts w:ascii="Arial" w:hAnsi="Arial" w:cs="Arial"/>
          <w:i/>
          <w:iCs/>
          <w:sz w:val="20"/>
          <w:szCs w:val="20"/>
        </w:rPr>
        <w:t xml:space="preserve">Numerical Simulation of Dense Gas Dispersion and Fire Characteristics </w:t>
      </w:r>
      <w:r w:rsidR="00DC3D42" w:rsidRPr="00DC3D42">
        <w:rPr>
          <w:rFonts w:ascii="Arial" w:hAnsi="Arial" w:cs="Arial"/>
          <w:i/>
          <w:iCs/>
          <w:sz w:val="20"/>
          <w:szCs w:val="20"/>
        </w:rPr>
        <w:t>f</w:t>
      </w:r>
      <w:r w:rsidRPr="00DC3D42">
        <w:rPr>
          <w:rFonts w:ascii="Arial" w:hAnsi="Arial" w:cs="Arial"/>
          <w:i/>
          <w:iCs/>
          <w:sz w:val="20"/>
          <w:szCs w:val="20"/>
        </w:rPr>
        <w:t>ollowing Liquefied Natural Gas Release</w:t>
      </w:r>
      <w:r w:rsidRPr="005227DA">
        <w:rPr>
          <w:rFonts w:ascii="Arial" w:hAnsi="Arial" w:cs="Arial"/>
          <w:sz w:val="20"/>
          <w:szCs w:val="20"/>
        </w:rPr>
        <w:t>,” where he developed advanced modelling techniques for predicting hazardous outcomes. Since 2019, he has been teaching the unit “Process Safety and Risk Management,” contributing to both undergraduate and postgraduate education in chemical engineering. His research has since broadened to include safety assessments and risk analysis in emerging energy sectors, particularly involving hydrogen and ammonia processes, with a focus on sustainable and low-carbon technologies.</w:t>
      </w:r>
    </w:p>
    <w:p w14:paraId="21F0EBF8" w14:textId="77777777" w:rsidR="00FD7773" w:rsidRDefault="00FD7773" w:rsidP="00FD7773">
      <w:pPr>
        <w:jc w:val="both"/>
        <w:rPr>
          <w:rFonts w:ascii="Arial" w:hAnsi="Arial" w:cs="Arial"/>
          <w:color w:val="000080"/>
          <w:sz w:val="20"/>
          <w:szCs w:val="20"/>
        </w:rPr>
      </w:pPr>
    </w:p>
    <w:p w14:paraId="4504A528" w14:textId="626CB5C5" w:rsidR="002D6FF0" w:rsidRPr="00CD1A67" w:rsidRDefault="002D6FF0" w:rsidP="002D6FF0">
      <w:pPr>
        <w:pStyle w:val="Heading"/>
      </w:pPr>
      <w:r>
        <w:t>Conference Program</w:t>
      </w:r>
    </w:p>
    <w:p w14:paraId="178A37B6" w14:textId="77777777" w:rsidR="002D6FF0" w:rsidRDefault="002D6FF0"/>
    <w:p w14:paraId="32993F31" w14:textId="4E182233" w:rsidR="00251FF4" w:rsidRDefault="002D6FF0">
      <w:r>
        <w:t>Please indicate which conference program your abstract relates to:</w:t>
      </w:r>
    </w:p>
    <w:p w14:paraId="7FDF76B1" w14:textId="77777777" w:rsidR="002D6FF0" w:rsidRDefault="002D6FF0"/>
    <w:p w14:paraId="3FF485FE" w14:textId="77777777" w:rsidR="002D6FF0" w:rsidRDefault="002D6FF0"/>
    <w:p w14:paraId="6365BDC3" w14:textId="113996D6" w:rsidR="002D6FF0" w:rsidRDefault="007C0D1C">
      <m:oMath>
        <m:r>
          <w:rPr>
            <w:rFonts w:ascii="Cambria Math" w:hAnsi="Cambria Math"/>
          </w:rPr>
          <m:t>√</m:t>
        </m:r>
      </m:oMath>
      <w:r w:rsidR="002D6FF0">
        <w:t xml:space="preserve"> Hazards Australasia</w:t>
      </w:r>
    </w:p>
    <w:p w14:paraId="21FE2FEE" w14:textId="77777777" w:rsidR="002D6FF0" w:rsidRDefault="002D6FF0"/>
    <w:p w14:paraId="64F877B0" w14:textId="77777777" w:rsidR="002D6FF0" w:rsidRDefault="002D6FF0"/>
    <w:sectPr w:rsidR="002D6FF0" w:rsidSect="004A7E12">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roma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773"/>
    <w:rsid w:val="00007C26"/>
    <w:rsid w:val="000159DD"/>
    <w:rsid w:val="0005374C"/>
    <w:rsid w:val="00070795"/>
    <w:rsid w:val="00081CD8"/>
    <w:rsid w:val="00095562"/>
    <w:rsid w:val="00097F1C"/>
    <w:rsid w:val="000C1929"/>
    <w:rsid w:val="000D0B13"/>
    <w:rsid w:val="000D3074"/>
    <w:rsid w:val="000F36F0"/>
    <w:rsid w:val="00140D38"/>
    <w:rsid w:val="001679D1"/>
    <w:rsid w:val="0018488E"/>
    <w:rsid w:val="00195F0E"/>
    <w:rsid w:val="00197D38"/>
    <w:rsid w:val="001C6281"/>
    <w:rsid w:val="001D3546"/>
    <w:rsid w:val="001D40F3"/>
    <w:rsid w:val="00200D64"/>
    <w:rsid w:val="00204298"/>
    <w:rsid w:val="00243650"/>
    <w:rsid w:val="002439E4"/>
    <w:rsid w:val="00251FF4"/>
    <w:rsid w:val="00255A48"/>
    <w:rsid w:val="00263713"/>
    <w:rsid w:val="002672EE"/>
    <w:rsid w:val="00270F20"/>
    <w:rsid w:val="002D01E0"/>
    <w:rsid w:val="002D6FF0"/>
    <w:rsid w:val="002E26F7"/>
    <w:rsid w:val="002E6E53"/>
    <w:rsid w:val="0030131D"/>
    <w:rsid w:val="00320EAB"/>
    <w:rsid w:val="003266E4"/>
    <w:rsid w:val="003414A0"/>
    <w:rsid w:val="00364A22"/>
    <w:rsid w:val="00366BE3"/>
    <w:rsid w:val="0036756E"/>
    <w:rsid w:val="003A2328"/>
    <w:rsid w:val="003A72E5"/>
    <w:rsid w:val="003E0D30"/>
    <w:rsid w:val="003E4CE2"/>
    <w:rsid w:val="0040051E"/>
    <w:rsid w:val="0040294E"/>
    <w:rsid w:val="0042255A"/>
    <w:rsid w:val="0044777D"/>
    <w:rsid w:val="004564AE"/>
    <w:rsid w:val="0046278E"/>
    <w:rsid w:val="00477822"/>
    <w:rsid w:val="00480D86"/>
    <w:rsid w:val="00487F31"/>
    <w:rsid w:val="004A1B0A"/>
    <w:rsid w:val="004A7E12"/>
    <w:rsid w:val="004F64E7"/>
    <w:rsid w:val="005227DA"/>
    <w:rsid w:val="005236D2"/>
    <w:rsid w:val="0052720A"/>
    <w:rsid w:val="00530D62"/>
    <w:rsid w:val="00547EF0"/>
    <w:rsid w:val="00551031"/>
    <w:rsid w:val="00551841"/>
    <w:rsid w:val="00551B6D"/>
    <w:rsid w:val="005824C8"/>
    <w:rsid w:val="0058634A"/>
    <w:rsid w:val="005C4444"/>
    <w:rsid w:val="005D1E8E"/>
    <w:rsid w:val="005D37BE"/>
    <w:rsid w:val="005E347E"/>
    <w:rsid w:val="005E6845"/>
    <w:rsid w:val="00600114"/>
    <w:rsid w:val="00613268"/>
    <w:rsid w:val="006501A0"/>
    <w:rsid w:val="00684C09"/>
    <w:rsid w:val="0069540A"/>
    <w:rsid w:val="006A2D84"/>
    <w:rsid w:val="006A60CD"/>
    <w:rsid w:val="006B3B47"/>
    <w:rsid w:val="006B67E9"/>
    <w:rsid w:val="006D4843"/>
    <w:rsid w:val="006E489A"/>
    <w:rsid w:val="007274A2"/>
    <w:rsid w:val="007367ED"/>
    <w:rsid w:val="00750A8D"/>
    <w:rsid w:val="00777DE5"/>
    <w:rsid w:val="00790284"/>
    <w:rsid w:val="00795B8C"/>
    <w:rsid w:val="007B3CE5"/>
    <w:rsid w:val="007C0D1C"/>
    <w:rsid w:val="007E2BC1"/>
    <w:rsid w:val="0081189F"/>
    <w:rsid w:val="00833D48"/>
    <w:rsid w:val="00836079"/>
    <w:rsid w:val="00843D8D"/>
    <w:rsid w:val="00847D19"/>
    <w:rsid w:val="00863DA5"/>
    <w:rsid w:val="008669F8"/>
    <w:rsid w:val="00882AD6"/>
    <w:rsid w:val="0089117F"/>
    <w:rsid w:val="008914E6"/>
    <w:rsid w:val="008937A9"/>
    <w:rsid w:val="00894067"/>
    <w:rsid w:val="008A4F62"/>
    <w:rsid w:val="008E2255"/>
    <w:rsid w:val="009005B7"/>
    <w:rsid w:val="00901DBD"/>
    <w:rsid w:val="009030CA"/>
    <w:rsid w:val="00903BF3"/>
    <w:rsid w:val="00924612"/>
    <w:rsid w:val="009355E2"/>
    <w:rsid w:val="009365D5"/>
    <w:rsid w:val="009448AB"/>
    <w:rsid w:val="00944B3B"/>
    <w:rsid w:val="009510E2"/>
    <w:rsid w:val="00960542"/>
    <w:rsid w:val="00961132"/>
    <w:rsid w:val="00961A5D"/>
    <w:rsid w:val="00982BC6"/>
    <w:rsid w:val="009923D9"/>
    <w:rsid w:val="009A1E96"/>
    <w:rsid w:val="009D052C"/>
    <w:rsid w:val="009D2A08"/>
    <w:rsid w:val="009E7061"/>
    <w:rsid w:val="009F3EDC"/>
    <w:rsid w:val="00A35BE7"/>
    <w:rsid w:val="00A40D77"/>
    <w:rsid w:val="00A54A2F"/>
    <w:rsid w:val="00A559B6"/>
    <w:rsid w:val="00A56CF9"/>
    <w:rsid w:val="00A70DEE"/>
    <w:rsid w:val="00A70EC2"/>
    <w:rsid w:val="00A77E78"/>
    <w:rsid w:val="00AB662E"/>
    <w:rsid w:val="00AF4E0A"/>
    <w:rsid w:val="00B01724"/>
    <w:rsid w:val="00B34338"/>
    <w:rsid w:val="00B44BAB"/>
    <w:rsid w:val="00B45BAC"/>
    <w:rsid w:val="00B72050"/>
    <w:rsid w:val="00B72F50"/>
    <w:rsid w:val="00B968B4"/>
    <w:rsid w:val="00BB3E9D"/>
    <w:rsid w:val="00BB7465"/>
    <w:rsid w:val="00BB79DD"/>
    <w:rsid w:val="00BE2DCB"/>
    <w:rsid w:val="00BE3AB1"/>
    <w:rsid w:val="00BE3C54"/>
    <w:rsid w:val="00C21528"/>
    <w:rsid w:val="00C3081B"/>
    <w:rsid w:val="00C32819"/>
    <w:rsid w:val="00C54F32"/>
    <w:rsid w:val="00C566AB"/>
    <w:rsid w:val="00C75833"/>
    <w:rsid w:val="00C8401D"/>
    <w:rsid w:val="00CC6236"/>
    <w:rsid w:val="00CD4D8A"/>
    <w:rsid w:val="00CE2E70"/>
    <w:rsid w:val="00D21353"/>
    <w:rsid w:val="00D3184E"/>
    <w:rsid w:val="00D41CD3"/>
    <w:rsid w:val="00D73E7C"/>
    <w:rsid w:val="00D75639"/>
    <w:rsid w:val="00D86CED"/>
    <w:rsid w:val="00D87E11"/>
    <w:rsid w:val="00DB785B"/>
    <w:rsid w:val="00DC0FED"/>
    <w:rsid w:val="00DC3D42"/>
    <w:rsid w:val="00DC7BAF"/>
    <w:rsid w:val="00DE6527"/>
    <w:rsid w:val="00DE69F4"/>
    <w:rsid w:val="00DF08F3"/>
    <w:rsid w:val="00DF1F12"/>
    <w:rsid w:val="00DF6710"/>
    <w:rsid w:val="00E06FF7"/>
    <w:rsid w:val="00E31BE1"/>
    <w:rsid w:val="00E35F11"/>
    <w:rsid w:val="00E4191C"/>
    <w:rsid w:val="00E6102C"/>
    <w:rsid w:val="00E7207D"/>
    <w:rsid w:val="00EB05CE"/>
    <w:rsid w:val="00EC23DD"/>
    <w:rsid w:val="00ED717E"/>
    <w:rsid w:val="00EE0B4A"/>
    <w:rsid w:val="00EE6EA4"/>
    <w:rsid w:val="00EF47B4"/>
    <w:rsid w:val="00F07E5E"/>
    <w:rsid w:val="00F115CC"/>
    <w:rsid w:val="00F16A97"/>
    <w:rsid w:val="00F42F99"/>
    <w:rsid w:val="00F45F75"/>
    <w:rsid w:val="00F5493E"/>
    <w:rsid w:val="00F767B9"/>
    <w:rsid w:val="00FD0B66"/>
    <w:rsid w:val="00FD593F"/>
    <w:rsid w:val="00FD6A06"/>
    <w:rsid w:val="00FD777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B65E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7773"/>
    <w:rPr>
      <w:sz w:val="22"/>
      <w:szCs w:val="22"/>
      <w:lang w:val="en-AU" w:eastAsia="en-US"/>
    </w:rPr>
  </w:style>
  <w:style w:type="paragraph" w:styleId="Heading1">
    <w:name w:val="heading 1"/>
    <w:basedOn w:val="Heading2"/>
    <w:next w:val="Body"/>
    <w:link w:val="Heading1Char"/>
    <w:autoRedefine/>
    <w:qFormat/>
    <w:rsid w:val="00FD7773"/>
    <w:pPr>
      <w:outlineLvl w:val="0"/>
    </w:pPr>
    <w:rPr>
      <w:i w:val="0"/>
    </w:rPr>
  </w:style>
  <w:style w:type="paragraph" w:styleId="Heading2">
    <w:name w:val="heading 2"/>
    <w:basedOn w:val="Heading3"/>
    <w:next w:val="Body"/>
    <w:link w:val="Heading2Char"/>
    <w:autoRedefine/>
    <w:qFormat/>
    <w:rsid w:val="00FD7773"/>
    <w:pPr>
      <w:keepNext w:val="0"/>
      <w:keepLines w:val="0"/>
      <w:widowControl w:val="0"/>
      <w:autoSpaceDE w:val="0"/>
      <w:autoSpaceDN w:val="0"/>
      <w:spacing w:before="120"/>
      <w:outlineLvl w:val="1"/>
    </w:pPr>
    <w:rPr>
      <w:rFonts w:ascii="Times" w:hAnsi="Times" w:cs="Times"/>
      <w:i/>
      <w:noProof/>
      <w:color w:val="auto"/>
      <w:szCs w:val="20"/>
      <w:lang w:val="en-US"/>
    </w:rPr>
  </w:style>
  <w:style w:type="paragraph" w:styleId="Heading3">
    <w:name w:val="heading 3"/>
    <w:basedOn w:val="Normal"/>
    <w:next w:val="Normal"/>
    <w:link w:val="Heading3Char"/>
    <w:uiPriority w:val="9"/>
    <w:semiHidden/>
    <w:unhideWhenUsed/>
    <w:qFormat/>
    <w:rsid w:val="00FD7773"/>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D7773"/>
    <w:rPr>
      <w:rFonts w:ascii="Times" w:eastAsia="Times New Roman" w:hAnsi="Times" w:cs="Times"/>
      <w:b/>
      <w:bCs/>
      <w:noProof/>
      <w:szCs w:val="20"/>
      <w:lang w:val="en-US"/>
    </w:rPr>
  </w:style>
  <w:style w:type="character" w:customStyle="1" w:styleId="Heading2Char">
    <w:name w:val="Heading 2 Char"/>
    <w:link w:val="Heading2"/>
    <w:rsid w:val="00FD7773"/>
    <w:rPr>
      <w:rFonts w:ascii="Times" w:eastAsia="Times New Roman" w:hAnsi="Times" w:cs="Times"/>
      <w:b/>
      <w:bCs/>
      <w:i/>
      <w:noProof/>
      <w:szCs w:val="20"/>
      <w:lang w:val="en-US"/>
    </w:rPr>
  </w:style>
  <w:style w:type="paragraph" w:customStyle="1" w:styleId="Subheading">
    <w:name w:val="Subheading"/>
    <w:basedOn w:val="Body"/>
    <w:rsid w:val="00FD7773"/>
  </w:style>
  <w:style w:type="paragraph" w:customStyle="1" w:styleId="Body">
    <w:name w:val="Body"/>
    <w:link w:val="BodyChar"/>
    <w:qFormat/>
    <w:rsid w:val="00FD7773"/>
    <w:pPr>
      <w:widowControl w:val="0"/>
      <w:autoSpaceDE w:val="0"/>
      <w:autoSpaceDN w:val="0"/>
      <w:spacing w:before="120"/>
      <w:jc w:val="both"/>
    </w:pPr>
    <w:rPr>
      <w:rFonts w:ascii="Times" w:eastAsia="Times New Roman" w:hAnsi="Times" w:cs="Times"/>
      <w:noProof/>
      <w:sz w:val="22"/>
      <w:lang w:val="en-US" w:eastAsia="en-US"/>
    </w:rPr>
  </w:style>
  <w:style w:type="paragraph" w:customStyle="1" w:styleId="Authorname">
    <w:name w:val="Author name"/>
    <w:basedOn w:val="Body"/>
    <w:qFormat/>
    <w:rsid w:val="00FD7773"/>
    <w:pPr>
      <w:jc w:val="center"/>
    </w:pPr>
    <w:rPr>
      <w:noProof w:val="0"/>
      <w:szCs w:val="22"/>
      <w:lang w:val="en-GB"/>
    </w:rPr>
  </w:style>
  <w:style w:type="paragraph" w:styleId="Title">
    <w:name w:val="Title"/>
    <w:basedOn w:val="Heading"/>
    <w:link w:val="TitleChar"/>
    <w:qFormat/>
    <w:rsid w:val="00FD7773"/>
    <w:pPr>
      <w:spacing w:after="240"/>
      <w:outlineLvl w:val="9"/>
    </w:pPr>
    <w:rPr>
      <w:rFonts w:ascii="Helvetica" w:hAnsi="Helvetica" w:cs="Helvetica"/>
      <w:bCs/>
      <w:caps w:val="0"/>
      <w:kern w:val="28"/>
      <w:sz w:val="36"/>
      <w:szCs w:val="36"/>
    </w:rPr>
  </w:style>
  <w:style w:type="character" w:customStyle="1" w:styleId="TitleChar">
    <w:name w:val="Title Char"/>
    <w:link w:val="Title"/>
    <w:rsid w:val="00FD7773"/>
    <w:rPr>
      <w:rFonts w:ascii="Helvetica" w:eastAsia="Times New Roman" w:hAnsi="Helvetica" w:cs="Helvetica"/>
      <w:b/>
      <w:bCs/>
      <w:kern w:val="28"/>
      <w:sz w:val="36"/>
      <w:szCs w:val="36"/>
      <w:lang w:val="en-GB"/>
    </w:rPr>
  </w:style>
  <w:style w:type="paragraph" w:customStyle="1" w:styleId="Figure">
    <w:name w:val="Figure"/>
    <w:basedOn w:val="Normal"/>
    <w:qFormat/>
    <w:rsid w:val="00FD7773"/>
    <w:pPr>
      <w:spacing w:before="120" w:after="120"/>
      <w:jc w:val="center"/>
    </w:pPr>
    <w:rPr>
      <w:rFonts w:ascii="Times New Roman" w:hAnsi="Times New Roman"/>
      <w:b/>
      <w:bCs/>
    </w:rPr>
  </w:style>
  <w:style w:type="paragraph" w:customStyle="1" w:styleId="Reference">
    <w:name w:val="Reference"/>
    <w:basedOn w:val="Body"/>
    <w:qFormat/>
    <w:rsid w:val="00FD7773"/>
    <w:pPr>
      <w:ind w:left="340" w:hanging="340"/>
    </w:pPr>
  </w:style>
  <w:style w:type="paragraph" w:customStyle="1" w:styleId="Heading">
    <w:name w:val="Heading"/>
    <w:basedOn w:val="Heading1"/>
    <w:next w:val="Body"/>
    <w:qFormat/>
    <w:rsid w:val="00FD7773"/>
    <w:pPr>
      <w:keepNext/>
      <w:spacing w:before="240"/>
      <w:jc w:val="center"/>
    </w:pPr>
    <w:rPr>
      <w:bCs w:val="0"/>
      <w:caps/>
      <w:noProof w:val="0"/>
      <w:lang w:val="en-GB"/>
    </w:rPr>
  </w:style>
  <w:style w:type="paragraph" w:customStyle="1" w:styleId="Abstract">
    <w:name w:val="Abstract"/>
    <w:basedOn w:val="Body"/>
    <w:link w:val="AbstractChar"/>
    <w:qFormat/>
    <w:rsid w:val="00FD7773"/>
    <w:rPr>
      <w:i/>
      <w:sz w:val="24"/>
    </w:rPr>
  </w:style>
  <w:style w:type="paragraph" w:customStyle="1" w:styleId="HyperlinksBodywithCourier">
    <w:name w:val="Hyperlinks (Body with Courier)"/>
    <w:basedOn w:val="Body"/>
    <w:next w:val="Body"/>
    <w:link w:val="HyperlinksBodywithCourierChar"/>
    <w:qFormat/>
    <w:rsid w:val="00FD7773"/>
    <w:rPr>
      <w:rFonts w:ascii="Courier" w:hAnsi="Courier" w:cs="Courier"/>
    </w:rPr>
  </w:style>
  <w:style w:type="character" w:customStyle="1" w:styleId="BodyChar">
    <w:name w:val="Body Char"/>
    <w:link w:val="Body"/>
    <w:rsid w:val="00FD7773"/>
    <w:rPr>
      <w:rFonts w:ascii="Times" w:eastAsia="Times New Roman" w:hAnsi="Times" w:cs="Times"/>
      <w:noProof/>
      <w:szCs w:val="20"/>
      <w:lang w:val="en-US"/>
    </w:rPr>
  </w:style>
  <w:style w:type="character" w:customStyle="1" w:styleId="AbstractChar">
    <w:name w:val="Abstract Char"/>
    <w:link w:val="Abstract"/>
    <w:rsid w:val="00FD7773"/>
    <w:rPr>
      <w:rFonts w:ascii="Times" w:eastAsia="Times New Roman" w:hAnsi="Times" w:cs="Times"/>
      <w:i/>
      <w:noProof/>
      <w:sz w:val="24"/>
      <w:szCs w:val="20"/>
      <w:lang w:val="en-US"/>
    </w:rPr>
  </w:style>
  <w:style w:type="character" w:customStyle="1" w:styleId="HyperlinksBodywithCourierChar">
    <w:name w:val="Hyperlinks (Body with Courier) Char"/>
    <w:link w:val="HyperlinksBodywithCourier"/>
    <w:rsid w:val="00FD7773"/>
    <w:rPr>
      <w:rFonts w:ascii="Courier" w:eastAsia="Times New Roman" w:hAnsi="Courier" w:cs="Courier"/>
      <w:noProof/>
      <w:szCs w:val="20"/>
      <w:lang w:val="en-US"/>
    </w:rPr>
  </w:style>
  <w:style w:type="character" w:customStyle="1" w:styleId="Heading3Char">
    <w:name w:val="Heading 3 Char"/>
    <w:link w:val="Heading3"/>
    <w:uiPriority w:val="9"/>
    <w:semiHidden/>
    <w:rsid w:val="00FD7773"/>
    <w:rPr>
      <w:rFonts w:ascii="Cambria" w:eastAsia="Times New Roman" w:hAnsi="Cambria" w:cs="Times New Roman"/>
      <w:b/>
      <w:bCs/>
      <w:color w:val="4F81BD"/>
    </w:rPr>
  </w:style>
  <w:style w:type="paragraph" w:styleId="BalloonText">
    <w:name w:val="Balloon Text"/>
    <w:basedOn w:val="Normal"/>
    <w:link w:val="BalloonTextChar"/>
    <w:uiPriority w:val="99"/>
    <w:semiHidden/>
    <w:unhideWhenUsed/>
    <w:rsid w:val="00FD7773"/>
    <w:rPr>
      <w:rFonts w:ascii="Tahoma" w:hAnsi="Tahoma" w:cs="Tahoma"/>
      <w:sz w:val="16"/>
      <w:szCs w:val="16"/>
    </w:rPr>
  </w:style>
  <w:style w:type="character" w:customStyle="1" w:styleId="BalloonTextChar">
    <w:name w:val="Balloon Text Char"/>
    <w:link w:val="BalloonText"/>
    <w:uiPriority w:val="99"/>
    <w:semiHidden/>
    <w:rsid w:val="00FD7773"/>
    <w:rPr>
      <w:rFonts w:ascii="Tahoma" w:hAnsi="Tahoma" w:cs="Tahoma"/>
      <w:sz w:val="16"/>
      <w:szCs w:val="16"/>
    </w:rPr>
  </w:style>
  <w:style w:type="paragraph" w:styleId="Header">
    <w:name w:val="header"/>
    <w:basedOn w:val="Normal"/>
    <w:link w:val="HeaderChar"/>
    <w:uiPriority w:val="99"/>
    <w:rsid w:val="00B968B4"/>
    <w:pPr>
      <w:suppressAutoHyphens/>
      <w:jc w:val="both"/>
    </w:pPr>
    <w:rPr>
      <w:rFonts w:eastAsia="Times New Roman" w:cs="Arial"/>
      <w:i/>
      <w:iCs/>
      <w:sz w:val="20"/>
      <w:szCs w:val="20"/>
      <w:lang w:val="en-GB" w:eastAsia="ar-SA"/>
    </w:rPr>
  </w:style>
  <w:style w:type="character" w:customStyle="1" w:styleId="HeaderChar">
    <w:name w:val="Header Char"/>
    <w:link w:val="Header"/>
    <w:uiPriority w:val="99"/>
    <w:rsid w:val="00B968B4"/>
    <w:rPr>
      <w:rFonts w:eastAsia="Times New Roman" w:cs="Arial"/>
      <w:i/>
      <w:iCs/>
      <w:lang w:val="en-GB" w:eastAsia="ar-SA"/>
    </w:rPr>
  </w:style>
  <w:style w:type="character" w:styleId="CommentReference">
    <w:name w:val="annotation reference"/>
    <w:uiPriority w:val="99"/>
    <w:semiHidden/>
    <w:unhideWhenUsed/>
    <w:rsid w:val="00FD0B66"/>
    <w:rPr>
      <w:sz w:val="16"/>
      <w:szCs w:val="16"/>
    </w:rPr>
  </w:style>
  <w:style w:type="paragraph" w:styleId="CommentText">
    <w:name w:val="annotation text"/>
    <w:basedOn w:val="Normal"/>
    <w:link w:val="CommentTextChar"/>
    <w:uiPriority w:val="99"/>
    <w:semiHidden/>
    <w:unhideWhenUsed/>
    <w:rsid w:val="00FD0B66"/>
    <w:rPr>
      <w:sz w:val="20"/>
      <w:szCs w:val="20"/>
    </w:rPr>
  </w:style>
  <w:style w:type="character" w:customStyle="1" w:styleId="CommentTextChar">
    <w:name w:val="Comment Text Char"/>
    <w:link w:val="CommentText"/>
    <w:uiPriority w:val="99"/>
    <w:semiHidden/>
    <w:rsid w:val="00FD0B66"/>
    <w:rPr>
      <w:lang w:eastAsia="en-US"/>
    </w:rPr>
  </w:style>
  <w:style w:type="paragraph" w:styleId="CommentSubject">
    <w:name w:val="annotation subject"/>
    <w:basedOn w:val="CommentText"/>
    <w:next w:val="CommentText"/>
    <w:link w:val="CommentSubjectChar"/>
    <w:uiPriority w:val="99"/>
    <w:semiHidden/>
    <w:unhideWhenUsed/>
    <w:rsid w:val="00FD0B66"/>
    <w:rPr>
      <w:b/>
      <w:bCs/>
    </w:rPr>
  </w:style>
  <w:style w:type="character" w:customStyle="1" w:styleId="CommentSubjectChar">
    <w:name w:val="Comment Subject Char"/>
    <w:link w:val="CommentSubject"/>
    <w:uiPriority w:val="99"/>
    <w:semiHidden/>
    <w:rsid w:val="00FD0B66"/>
    <w:rPr>
      <w:b/>
      <w:bCs/>
      <w:lang w:eastAsia="en-US"/>
    </w:rPr>
  </w:style>
  <w:style w:type="character" w:styleId="Hyperlink">
    <w:name w:val="Hyperlink"/>
    <w:basedOn w:val="DefaultParagraphFont"/>
    <w:uiPriority w:val="99"/>
    <w:unhideWhenUsed/>
    <w:rsid w:val="001C6281"/>
    <w:rPr>
      <w:color w:val="0563C1" w:themeColor="hyperlink"/>
      <w:u w:val="single"/>
    </w:rPr>
  </w:style>
  <w:style w:type="character" w:styleId="UnresolvedMention">
    <w:name w:val="Unresolved Mention"/>
    <w:basedOn w:val="DefaultParagraphFont"/>
    <w:uiPriority w:val="99"/>
    <w:rsid w:val="001C6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270608">
      <w:bodyDiv w:val="1"/>
      <w:marLeft w:val="0"/>
      <w:marRight w:val="0"/>
      <w:marTop w:val="0"/>
      <w:marBottom w:val="0"/>
      <w:divBdr>
        <w:top w:val="none" w:sz="0" w:space="0" w:color="auto"/>
        <w:left w:val="none" w:sz="0" w:space="0" w:color="auto"/>
        <w:bottom w:val="none" w:sz="0" w:space="0" w:color="auto"/>
        <w:right w:val="none" w:sz="0" w:space="0" w:color="auto"/>
      </w:divBdr>
    </w:div>
    <w:div w:id="923225475">
      <w:bodyDiv w:val="1"/>
      <w:marLeft w:val="0"/>
      <w:marRight w:val="0"/>
      <w:marTop w:val="0"/>
      <w:marBottom w:val="0"/>
      <w:divBdr>
        <w:top w:val="none" w:sz="0" w:space="0" w:color="auto"/>
        <w:left w:val="none" w:sz="0" w:space="0" w:color="auto"/>
        <w:bottom w:val="none" w:sz="0" w:space="0" w:color="auto"/>
        <w:right w:val="none" w:sz="0" w:space="0" w:color="auto"/>
      </w:divBdr>
    </w:div>
    <w:div w:id="1459302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3E12437DE9B24399951176085CE240" ma:contentTypeVersion="18" ma:contentTypeDescription="Create a new document." ma:contentTypeScope="" ma:versionID="f5f2d0dbec51079e8c5abc1902176ccc">
  <xsd:schema xmlns:xsd="http://www.w3.org/2001/XMLSchema" xmlns:xs="http://www.w3.org/2001/XMLSchema" xmlns:p="http://schemas.microsoft.com/office/2006/metadata/properties" xmlns:ns2="9844abac-2566-4af2-8188-9b6c22f5b0e2" xmlns:ns3="9d6a7306-6063-488c-b373-36c2cfcf654b" xmlns:ns4="b4e63e3e-d05a-4992-bcbc-79a7026d7978" targetNamespace="http://schemas.microsoft.com/office/2006/metadata/properties" ma:root="true" ma:fieldsID="06feade25cf7a5fcbc4ba852f388746e" ns2:_="" ns3:_="" ns4:_="">
    <xsd:import namespace="9844abac-2566-4af2-8188-9b6c22f5b0e2"/>
    <xsd:import namespace="9d6a7306-6063-488c-b373-36c2cfcf654b"/>
    <xsd:import namespace="b4e63e3e-d05a-4992-bcbc-79a7026d7978"/>
    <xsd:element name="properties">
      <xsd:complexType>
        <xsd:sequence>
          <xsd:element name="documentManagement">
            <xsd:complexType>
              <xsd:all>
                <xsd:element ref="ns2:Asset_x0020_Owner" minOccurs="0"/>
                <xsd:element ref="ns2:Function" minOccurs="0"/>
                <xsd:element ref="ns2:IChemE_x0020_Department" minOccurs="0"/>
                <xsd:element ref="ns2:Retention_x0020_Period" minOccurs="0"/>
                <xsd:element ref="ns2:Security"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ServiceAutoKeyPoints" minOccurs="0"/>
                <xsd:element ref="ns3:MediaServiceKeyPoints" minOccurs="0"/>
                <xsd:element ref="ns3:pic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4abac-2566-4af2-8188-9b6c22f5b0e2" elementFormDefault="qualified">
    <xsd:import namespace="http://schemas.microsoft.com/office/2006/documentManagement/types"/>
    <xsd:import namespace="http://schemas.microsoft.com/office/infopath/2007/PartnerControls"/>
    <xsd:element name="Asset_x0020_Owner" ma:index="8" nillable="true" ma:displayName="Asset Owner" ma:list="UserInfo" ma:SharePointGroup="0" ma:internalName="Asse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unction" ma:index="9" nillable="true" ma:displayName="Function" ma:format="Dropdown" ma:internalName="Function">
      <xsd:simpleType>
        <xsd:restriction base="dms:Choice">
          <xsd:enumeration value="Recruitment"/>
          <xsd:enumeration value="Template"/>
          <xsd:enumeration value="Policy"/>
          <xsd:enumeration value="Minutes"/>
          <xsd:enumeration value="Agenda"/>
          <xsd:enumeration value="Internal Business Document"/>
          <xsd:enumeration value="Meeting Document"/>
          <xsd:enumeration value="Supporting Document"/>
          <xsd:enumeration value="ISO 9001"/>
          <xsd:enumeration value="Other"/>
        </xsd:restriction>
      </xsd:simpleType>
    </xsd:element>
    <xsd:element name="IChemE_x0020_Department" ma:index="10" nillable="true" ma:displayName="IChemE Department" ma:format="Dropdown" ma:internalName="IChemE_x0020_Department">
      <xsd:simpleType>
        <xsd:restriction base="dms:Choice">
          <xsd:enumeration value="Australia"/>
          <xsd:enumeration value="Benevolent Fund"/>
          <xsd:enumeration value="Communications"/>
          <xsd:enumeration value="Commercial"/>
          <xsd:enumeration value="Finance"/>
          <xsd:enumeration value="General"/>
          <xsd:enumeration value="Governance &amp; Corporate"/>
          <xsd:enumeration value="Graphics &amp; Design"/>
          <xsd:enumeration value="HR"/>
          <xsd:enumeration value="IT"/>
          <xsd:enumeration value="Malaysia"/>
          <xsd:enumeration value="Marketing"/>
          <xsd:enumeration value="Membership &amp; Qualifications"/>
          <xsd:enumeration value="New Zealand"/>
          <xsd:enumeration value="Policy &amp; Learned Society"/>
          <xsd:enumeration value="Publications"/>
          <xsd:enumeration value="Regions"/>
          <xsd:enumeration value="Safety Centre"/>
          <xsd:enumeration value="Secretariat"/>
        </xsd:restriction>
      </xsd:simpleType>
    </xsd:element>
    <xsd:element name="Retention_x0020_Period" ma:index="11" nillable="true" ma:displayName="Retention Period" ma:default="6 Years" ma:format="Dropdown" ma:internalName="Retention_x0020_Period">
      <xsd:simpleType>
        <xsd:restriction base="dms:Choice">
          <xsd:enumeration value="N/A"/>
          <xsd:enumeration value="2 Years"/>
          <xsd:enumeration value="6 Years"/>
          <xsd:enumeration value="12 Years"/>
          <xsd:enumeration value="Unknown"/>
        </xsd:restriction>
      </xsd:simpleType>
    </xsd:element>
    <xsd:element name="Security" ma:index="12" nillable="true" ma:displayName="Security" ma:format="Dropdown" ma:internalName="Security">
      <xsd:simpleType>
        <xsd:restriction base="dms:Choice">
          <xsd:enumeration value="Public"/>
          <xsd:enumeration value="Internal"/>
          <xsd:enumeration value="Confidential"/>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9d6a7306-6063-488c-b373-36c2cfcf654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picture" ma:index="25"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e63e3e-d05a-4992-bcbc-79a7026d797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F16D5-75BF-414F-9DAF-EFF34CF74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4abac-2566-4af2-8188-9b6c22f5b0e2"/>
    <ds:schemaRef ds:uri="9d6a7306-6063-488c-b373-36c2cfcf654b"/>
    <ds:schemaRef ds:uri="b4e63e3e-d05a-4992-bcbc-79a7026d7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4BF813-462F-442B-A7D0-E0DE942BF960}">
  <ds:schemaRefs>
    <ds:schemaRef ds:uri="http://schemas.microsoft.com/sharepoint/v3/contenttype/forms"/>
  </ds:schemaRefs>
</ds:datastoreItem>
</file>

<file path=customXml/itemProps3.xml><?xml version="1.0" encoding="utf-8"?>
<ds:datastoreItem xmlns:ds="http://schemas.openxmlformats.org/officeDocument/2006/customXml" ds:itemID="{BA6247F2-2614-A74A-A0B3-056EF4230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1468</TotalTime>
  <Pages>2</Pages>
  <Words>485</Words>
  <Characters>2949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Links>
    <vt:vector size="6" baseType="variant">
      <vt:variant>
        <vt:i4>3670025</vt:i4>
      </vt:variant>
      <vt:variant>
        <vt:i4>2048</vt:i4>
      </vt:variant>
      <vt:variant>
        <vt:i4>1025</vt:i4>
      </vt:variant>
      <vt:variant>
        <vt:i4>1</vt:i4>
      </vt:variant>
      <vt:variant>
        <vt:lpwstr>Chemeca2021 2728 GENERAL Web banners_HiRes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Geoghegan</dc:creator>
  <cp:keywords/>
  <cp:lastModifiedBy>Biao Sun</cp:lastModifiedBy>
  <cp:revision>134</cp:revision>
  <cp:lastPrinted>2021-03-09T09:58:00Z</cp:lastPrinted>
  <dcterms:created xsi:type="dcterms:W3CDTF">2025-01-23T22:37:00Z</dcterms:created>
  <dcterms:modified xsi:type="dcterms:W3CDTF">2025-04-10T09:03:00Z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0x0101005144375E58E94B4797547602088A153E</vt:lpwstr>
  </property>
  <property fmtid="{D5CDD505-2E9C-101B-9397-08002B2CF9AE}" pid="3" name="Security">
    <vt:lpwstr/>
  </property>
  <property fmtid="{D5CDD505-2E9C-101B-9397-08002B2CF9AE}" pid="4" name="Retention Period">
    <vt:lpwstr>6 Years</vt:lpwstr>
  </property>
  <property fmtid="{D5CDD505-2E9C-101B-9397-08002B2CF9AE}" pid="5" name="Function">
    <vt:lpwstr/>
  </property>
  <property fmtid="{D5CDD505-2E9C-101B-9397-08002B2CF9AE}" pid="6" name="picture">
    <vt:lpwstr>, </vt:lpwstr>
  </property>
  <property fmtid="{D5CDD505-2E9C-101B-9397-08002B2CF9AE}" pid="7" name="IChemE Department">
    <vt:lpwstr/>
  </property>
  <property fmtid="{D5CDD505-2E9C-101B-9397-08002B2CF9AE}" pid="8" name="Asset Owner">
    <vt:lpwstr/>
  </property>
</Properties>
</file>