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r w:rsidRPr="00B968B4">
        <w:rPr>
          <w:rFonts w:ascii="Times" w:hAnsi="Times" w:cs="Times"/>
        </w:rPr>
        <w:t>Chemeca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10AC0CE3" w14:textId="12063BBB" w:rsidR="00FD7773" w:rsidRDefault="00400234" w:rsidP="00FD7773">
      <w:pPr>
        <w:pStyle w:val="Title"/>
      </w:pPr>
      <w:r w:rsidRPr="00400234">
        <w:t xml:space="preserve">Selective </w:t>
      </w:r>
      <w:r w:rsidRPr="00400234">
        <w:rPr>
          <w:rFonts w:hint="eastAsia"/>
        </w:rPr>
        <w:t>C</w:t>
      </w:r>
      <w:r w:rsidRPr="00400234">
        <w:t xml:space="preserve">arbon Chain Growth to </w:t>
      </w:r>
      <w:r w:rsidR="00ED161C" w:rsidRPr="00400234">
        <w:t>C</w:t>
      </w:r>
      <w:r w:rsidR="00ED161C" w:rsidRPr="00400234">
        <w:rPr>
          <w:vertAlign w:val="subscript"/>
        </w:rPr>
        <w:t>3+</w:t>
      </w:r>
      <w:r w:rsidRPr="00400234">
        <w:t xml:space="preserve"> Chemicals: </w:t>
      </w:r>
      <w:r w:rsidRPr="00400234">
        <w:rPr>
          <w:rFonts w:hint="eastAsia"/>
        </w:rPr>
        <w:t>f</w:t>
      </w:r>
      <w:r w:rsidRPr="00400234">
        <w:t xml:space="preserve">rom </w:t>
      </w:r>
      <w:bookmarkStart w:id="0" w:name="_Hlk184715377"/>
      <w:r w:rsidRPr="00400234">
        <w:t>Mechanistic Insights to Electrocatalytic Engineering</w:t>
      </w:r>
      <w:bookmarkEnd w:id="0"/>
    </w:p>
    <w:p w14:paraId="33772819" w14:textId="478E1B91" w:rsidR="00FD7773" w:rsidRPr="003323B5" w:rsidRDefault="00400234" w:rsidP="00FD7773">
      <w:pPr>
        <w:pStyle w:val="Authorname"/>
      </w:pPr>
      <w:r w:rsidRPr="00400234">
        <w:rPr>
          <w:rFonts w:hint="eastAsia"/>
        </w:rPr>
        <w:t>Ling Chen</w:t>
      </w:r>
      <w:r w:rsidRPr="00400234">
        <w:t xml:space="preserve"> </w:t>
      </w:r>
      <w:r w:rsidRPr="00400234">
        <w:rPr>
          <w:vertAlign w:val="superscript"/>
        </w:rPr>
        <w:t>1</w:t>
      </w:r>
      <w:r w:rsidRPr="00400234">
        <w:t>, Damien Voiry,</w:t>
      </w:r>
      <w:r w:rsidRPr="00ED161C">
        <w:rPr>
          <w:vertAlign w:val="superscript"/>
        </w:rPr>
        <w:t>2</w:t>
      </w:r>
      <w:ins w:id="1" w:author="Yan Jiao" w:date="2025-04-03T10:21:00Z" w16du:dateUtc="2025-04-02T23:51:00Z">
        <w:r w:rsidRPr="00400234">
          <w:t xml:space="preserve"> </w:t>
        </w:r>
      </w:ins>
      <w:r w:rsidRPr="00400234">
        <w:t>Yan Jiao</w:t>
      </w:r>
      <w:r w:rsidRPr="00400234">
        <w:rPr>
          <w:rFonts w:hint="eastAsia"/>
        </w:rPr>
        <w:t xml:space="preserve"> </w:t>
      </w:r>
      <w:r w:rsidRPr="00ED161C">
        <w:rPr>
          <w:rFonts w:hint="eastAsia"/>
          <w:vertAlign w:val="superscript"/>
        </w:rPr>
        <w:t>1</w:t>
      </w:r>
    </w:p>
    <w:p w14:paraId="7D4A136E" w14:textId="7B2F916F" w:rsidR="00FD7773" w:rsidRDefault="00400234" w:rsidP="00FD7773">
      <w:pPr>
        <w:pStyle w:val="Authorname"/>
        <w:rPr>
          <w:rFonts w:ascii="Times New Roman" w:eastAsiaTheme="minorEastAsia" w:hAnsi="Times New Roman"/>
          <w:szCs w:val="21"/>
          <w:lang w:eastAsia="zh-CN"/>
        </w:rPr>
      </w:pPr>
      <w:r w:rsidRPr="00400234">
        <w:rPr>
          <w:rFonts w:ascii="Times New Roman" w:eastAsiaTheme="minorEastAsia" w:hAnsi="Times New Roman" w:hint="eastAsia"/>
          <w:szCs w:val="21"/>
          <w:vertAlign w:val="superscript"/>
          <w:lang w:eastAsia="zh-CN"/>
        </w:rPr>
        <w:t>1</w:t>
      </w:r>
      <w:r w:rsidRPr="00254DFD">
        <w:rPr>
          <w:rFonts w:ascii="Times New Roman" w:hAnsi="Times New Roman"/>
          <w:szCs w:val="21"/>
        </w:rPr>
        <w:t>The University of Adelaide, Adelaide, SA 5005, Australia.</w:t>
      </w:r>
    </w:p>
    <w:p w14:paraId="5D37A3BE" w14:textId="52D01E46" w:rsidR="00400234" w:rsidRPr="00400234" w:rsidRDefault="00400234" w:rsidP="00FD7773">
      <w:pPr>
        <w:pStyle w:val="Authorname"/>
        <w:rPr>
          <w:rFonts w:eastAsiaTheme="minorEastAsia" w:hint="eastAsia"/>
          <w:lang w:eastAsia="zh-CN"/>
        </w:rPr>
      </w:pPr>
      <w:r w:rsidRPr="00400234">
        <w:rPr>
          <w:rFonts w:ascii="Times New Roman" w:eastAsiaTheme="minorEastAsia" w:hAnsi="Times New Roman" w:hint="eastAsia"/>
          <w:szCs w:val="21"/>
          <w:vertAlign w:val="superscript"/>
          <w:lang w:eastAsia="zh-CN"/>
        </w:rPr>
        <w:t>2</w:t>
      </w:r>
      <w:r w:rsidRPr="00400234">
        <w:rPr>
          <w:rFonts w:ascii="Calibri" w:eastAsiaTheme="minorEastAsia" w:hAnsi="Calibri" w:cs="Times New Roman"/>
          <w:lang w:val="en-AU"/>
        </w:rPr>
        <w:t xml:space="preserve"> </w:t>
      </w:r>
      <w:proofErr w:type="spellStart"/>
      <w:r w:rsidRPr="00400234">
        <w:rPr>
          <w:rFonts w:ascii="Times New Roman" w:eastAsiaTheme="minorEastAsia" w:hAnsi="Times New Roman"/>
          <w:szCs w:val="21"/>
          <w:lang w:val="en-AU" w:eastAsia="zh-CN"/>
        </w:rPr>
        <w:t>Institut</w:t>
      </w:r>
      <w:proofErr w:type="spellEnd"/>
      <w:r w:rsidRPr="00400234">
        <w:rPr>
          <w:rFonts w:ascii="Times New Roman" w:eastAsiaTheme="minorEastAsia" w:hAnsi="Times New Roman"/>
          <w:szCs w:val="21"/>
          <w:lang w:val="en-AU" w:eastAsia="zh-CN"/>
        </w:rPr>
        <w:t xml:space="preserve"> </w:t>
      </w:r>
      <w:proofErr w:type="spellStart"/>
      <w:r w:rsidRPr="00400234">
        <w:rPr>
          <w:rFonts w:ascii="Times New Roman" w:eastAsiaTheme="minorEastAsia" w:hAnsi="Times New Roman"/>
          <w:szCs w:val="21"/>
          <w:lang w:val="en-AU" w:eastAsia="zh-CN"/>
        </w:rPr>
        <w:t>Européen</w:t>
      </w:r>
      <w:proofErr w:type="spellEnd"/>
      <w:r w:rsidRPr="00400234">
        <w:rPr>
          <w:rFonts w:ascii="Times New Roman" w:eastAsiaTheme="minorEastAsia" w:hAnsi="Times New Roman"/>
          <w:szCs w:val="21"/>
          <w:lang w:val="en-AU" w:eastAsia="zh-CN"/>
        </w:rPr>
        <w:t xml:space="preserve"> des Membranes, IEM, UMR 5635, Université Montpellier, ENSCM, CNRS, Montpellier, France.</w:t>
      </w:r>
    </w:p>
    <w:p w14:paraId="1DD866B0" w14:textId="3E5217A2" w:rsidR="00FD7773" w:rsidRPr="00400234" w:rsidRDefault="00400234" w:rsidP="00FD7773">
      <w:pPr>
        <w:pStyle w:val="Authorname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yan.jiao@adelaide.edu.eu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1CC48BA8" w14:textId="77777777" w:rsidR="00ED161C" w:rsidRPr="00ED161C" w:rsidRDefault="00ED161C" w:rsidP="00ED161C">
      <w:pPr>
        <w:pStyle w:val="Abstract"/>
        <w:sectPr w:rsidR="00ED161C" w:rsidRPr="00ED161C" w:rsidSect="00ED16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ED161C">
        <w:t>The electrocatalytic CO</w:t>
      </w:r>
      <w:r w:rsidRPr="00ED161C">
        <w:rPr>
          <w:vertAlign w:val="subscript"/>
        </w:rPr>
        <w:t>2</w:t>
      </w:r>
      <w:r w:rsidRPr="00ED161C">
        <w:t xml:space="preserve"> reduction reaction (ECRR)</w:t>
      </w:r>
      <w:r w:rsidRPr="00ED161C">
        <w:rPr>
          <w:rFonts w:hint="eastAsia"/>
        </w:rPr>
        <w:t xml:space="preserve"> toward high-value chemicals </w:t>
      </w:r>
      <w:r w:rsidRPr="00ED161C">
        <w:t>conversion</w:t>
      </w:r>
      <w:r w:rsidRPr="00ED161C">
        <w:rPr>
          <w:rFonts w:hint="eastAsia"/>
        </w:rPr>
        <w:t xml:space="preserve"> </w:t>
      </w:r>
      <w:r w:rsidRPr="00ED161C">
        <w:t xml:space="preserve">is a promising pathway for transforming industrial production and promoting carbon cycle sustainability. However, </w:t>
      </w:r>
      <w:r w:rsidRPr="00ED161C">
        <w:rPr>
          <w:rFonts w:hint="eastAsia"/>
        </w:rPr>
        <w:t>its</w:t>
      </w:r>
      <w:r w:rsidRPr="00ED161C">
        <w:t xml:space="preserve"> </w:t>
      </w:r>
      <w:r w:rsidRPr="00ED161C">
        <w:rPr>
          <w:rFonts w:hint="eastAsia"/>
        </w:rPr>
        <w:t xml:space="preserve">selective reduction </w:t>
      </w:r>
      <w:r w:rsidRPr="00ED161C">
        <w:t xml:space="preserve">to </w:t>
      </w:r>
      <w:r w:rsidRPr="00ED161C">
        <w:rPr>
          <w:rFonts w:hint="eastAsia"/>
        </w:rPr>
        <w:t>C</w:t>
      </w:r>
      <w:r w:rsidRPr="00ED161C">
        <w:rPr>
          <w:rFonts w:hint="eastAsia"/>
          <w:vertAlign w:val="subscript"/>
        </w:rPr>
        <w:t>3+</w:t>
      </w:r>
      <w:r w:rsidRPr="00ED161C">
        <w:t xml:space="preserve"> </w:t>
      </w:r>
      <w:r w:rsidRPr="00ED161C">
        <w:rPr>
          <w:rFonts w:hint="eastAsia"/>
        </w:rPr>
        <w:t>chemicals remains</w:t>
      </w:r>
      <w:r w:rsidRPr="00ED161C">
        <w:t xml:space="preserve"> challenging </w:t>
      </w:r>
      <w:r w:rsidRPr="00ED161C">
        <w:rPr>
          <w:rFonts w:hint="eastAsia"/>
        </w:rPr>
        <w:t xml:space="preserve">due to two key limitations: </w:t>
      </w:r>
      <w:r w:rsidRPr="00ED161C">
        <w:t xml:space="preserve">low overall C3+ </w:t>
      </w:r>
      <w:r w:rsidRPr="00ED161C">
        <w:rPr>
          <w:rFonts w:hint="eastAsia"/>
        </w:rPr>
        <w:t xml:space="preserve">conversion rate and </w:t>
      </w:r>
      <w:r w:rsidRPr="00ED161C">
        <w:t>poor selectivity for specific C</w:t>
      </w:r>
      <w:r w:rsidRPr="00ED161C">
        <w:rPr>
          <w:vertAlign w:val="subscript"/>
        </w:rPr>
        <w:t>3+</w:t>
      </w:r>
      <w:r w:rsidRPr="00ED161C">
        <w:t xml:space="preserve"> products. To help the advance of this direction, we present a perspective </w:t>
      </w:r>
      <w:r w:rsidRPr="00ED161C">
        <w:rPr>
          <w:rFonts w:hint="eastAsia"/>
        </w:rPr>
        <w:t>on</w:t>
      </w:r>
      <w:r w:rsidRPr="00ED161C">
        <w:t xml:space="preserve"> mechanistic insights to identify opportunities and </w:t>
      </w:r>
      <w:r w:rsidRPr="00ED161C">
        <w:rPr>
          <w:rFonts w:hint="eastAsia"/>
        </w:rPr>
        <w:t>approaches</w:t>
      </w:r>
      <w:r w:rsidRPr="00ED161C">
        <w:t xml:space="preserve"> to </w:t>
      </w:r>
      <w:r w:rsidRPr="00ED161C">
        <w:rPr>
          <w:rFonts w:hint="eastAsia"/>
        </w:rPr>
        <w:t xml:space="preserve">overcome these </w:t>
      </w:r>
      <w:r w:rsidRPr="00ED161C">
        <w:t xml:space="preserve">challenges. In this perspective, we </w:t>
      </w:r>
      <w:r w:rsidRPr="00ED161C">
        <w:rPr>
          <w:rFonts w:hint="eastAsia"/>
        </w:rPr>
        <w:t xml:space="preserve">first </w:t>
      </w:r>
      <w:r w:rsidRPr="00ED161C">
        <w:t>summarize three primary mechanisms for ECRR-to-C</w:t>
      </w:r>
      <w:r w:rsidRPr="00ED161C">
        <w:rPr>
          <w:vertAlign w:val="subscript"/>
        </w:rPr>
        <w:t>3+</w:t>
      </w:r>
      <w:r w:rsidRPr="00ED161C">
        <w:t xml:space="preserve"> conversion: *CO-*CO-*CO coupling, *CO</w:t>
      </w:r>
      <w:r w:rsidRPr="00ED161C">
        <w:rPr>
          <w:vertAlign w:val="subscript"/>
        </w:rPr>
        <w:t>2</w:t>
      </w:r>
      <w:r w:rsidRPr="00ED161C">
        <w:t>-*OCHCH</w:t>
      </w:r>
      <w:r w:rsidRPr="00ED161C">
        <w:rPr>
          <w:vertAlign w:val="subscript"/>
        </w:rPr>
        <w:t>2</w:t>
      </w:r>
      <w:r w:rsidRPr="00ED161C">
        <w:t xml:space="preserve"> coupling (*CO</w:t>
      </w:r>
      <w:r w:rsidRPr="00ED161C">
        <w:rPr>
          <w:vertAlign w:val="subscript"/>
        </w:rPr>
        <w:t>2</w:t>
      </w:r>
      <w:r w:rsidRPr="00ED161C">
        <w:t xml:space="preserve"> insertion), and *CO–*OCHCH</w:t>
      </w:r>
      <w:r w:rsidRPr="00ED161C">
        <w:rPr>
          <w:vertAlign w:val="subscript"/>
        </w:rPr>
        <w:t>2</w:t>
      </w:r>
      <w:r w:rsidRPr="00ED161C">
        <w:t xml:space="preserve"> coupling (*CO insertion</w:t>
      </w:r>
      <w:r w:rsidRPr="00ED161C">
        <w:rPr>
          <w:rFonts w:hint="eastAsia"/>
        </w:rPr>
        <w:t>).</w:t>
      </w:r>
      <w:r w:rsidRPr="00ED161C">
        <w:t xml:space="preserve"> </w:t>
      </w:r>
      <w:r w:rsidRPr="00ED161C">
        <w:rPr>
          <w:rFonts w:hint="eastAsia"/>
        </w:rPr>
        <w:t xml:space="preserve">Additionally, </w:t>
      </w:r>
      <w:r w:rsidRPr="00ED161C">
        <w:t xml:space="preserve">we propose thermodynamically feasible alternative pathways as competing mechanisms, </w:t>
      </w:r>
      <w:r w:rsidRPr="00ED161C">
        <w:rPr>
          <w:rFonts w:hint="eastAsia"/>
        </w:rPr>
        <w:t>offering</w:t>
      </w:r>
      <w:r w:rsidRPr="00ED161C">
        <w:t xml:space="preserve"> a </w:t>
      </w:r>
      <w:r w:rsidRPr="00ED161C">
        <w:rPr>
          <w:rFonts w:hint="eastAsia"/>
        </w:rPr>
        <w:t>more comprehensive understanding of the process</w:t>
      </w:r>
      <w:r w:rsidRPr="00ED161C">
        <w:t xml:space="preserve">. </w:t>
      </w:r>
      <w:r w:rsidRPr="00ED161C">
        <w:rPr>
          <w:rFonts w:hint="eastAsia"/>
        </w:rPr>
        <w:t>Building upon these insights</w:t>
      </w:r>
      <w:r w:rsidRPr="00ED161C">
        <w:t xml:space="preserve">, we </w:t>
      </w:r>
      <w:r w:rsidRPr="00ED161C">
        <w:rPr>
          <w:rFonts w:hint="eastAsia"/>
        </w:rPr>
        <w:t xml:space="preserve">highlight </w:t>
      </w:r>
      <w:r w:rsidRPr="00ED161C">
        <w:t xml:space="preserve">a couple of new </w:t>
      </w:r>
      <w:r w:rsidRPr="00ED161C">
        <w:rPr>
          <w:rFonts w:hint="eastAsia"/>
        </w:rPr>
        <w:t>reaction environment</w:t>
      </w:r>
      <w:r w:rsidRPr="00ED161C">
        <w:t xml:space="preserve"> engineering </w:t>
      </w:r>
      <w:r w:rsidRPr="00ED161C">
        <w:rPr>
          <w:rFonts w:hint="eastAsia"/>
        </w:rPr>
        <w:t>strateg</w:t>
      </w:r>
      <w:r w:rsidRPr="00ED161C">
        <w:t xml:space="preserve">ies to </w:t>
      </w:r>
      <w:r w:rsidRPr="00ED161C">
        <w:rPr>
          <w:rFonts w:hint="eastAsia"/>
        </w:rPr>
        <w:t>enhance</w:t>
      </w:r>
      <w:r w:rsidRPr="00ED161C">
        <w:t xml:space="preserve"> ECRR-to-C</w:t>
      </w:r>
      <w:r w:rsidRPr="00ED161C">
        <w:rPr>
          <w:vertAlign w:val="subscript"/>
        </w:rPr>
        <w:t>3+</w:t>
      </w:r>
      <w:r w:rsidRPr="00ED161C">
        <w:t xml:space="preserve"> efficiency, which includes catalyst material engineering and electrolyte engineering. This </w:t>
      </w:r>
      <w:r w:rsidRPr="00ED161C">
        <w:rPr>
          <w:rFonts w:hint="eastAsia"/>
        </w:rPr>
        <w:t>integrated approach</w:t>
      </w:r>
      <w:r w:rsidRPr="00ED161C">
        <w:t xml:space="preserve"> holds </w:t>
      </w:r>
      <w:r w:rsidRPr="00ED161C">
        <w:rPr>
          <w:rFonts w:hint="eastAsia"/>
        </w:rPr>
        <w:t>great</w:t>
      </w:r>
      <w:r w:rsidRPr="00ED161C">
        <w:t xml:space="preserve"> </w:t>
      </w:r>
      <w:r w:rsidRPr="00ED161C">
        <w:rPr>
          <w:rFonts w:hint="eastAsia"/>
        </w:rPr>
        <w:t>promise</w:t>
      </w:r>
      <w:r w:rsidRPr="00ED161C">
        <w:t xml:space="preserve"> for advancing sustainable and efficient production processes. Finally, major challenges and perspectives in th</w:t>
      </w:r>
      <w:r w:rsidRPr="00ED161C">
        <w:rPr>
          <w:rFonts w:hint="eastAsia"/>
        </w:rPr>
        <w:t>is</w:t>
      </w:r>
      <w:r w:rsidRPr="00ED161C">
        <w:t xml:space="preserve"> research area are proposed for future development and practical applications.</w:t>
      </w:r>
    </w:p>
    <w:p w14:paraId="3F939B95" w14:textId="77777777" w:rsidR="00ED161C" w:rsidRPr="00ED161C" w:rsidRDefault="00ED161C" w:rsidP="003E0D30">
      <w:pPr>
        <w:pStyle w:val="Abstract"/>
        <w:jc w:val="center"/>
        <w:rPr>
          <w:rFonts w:eastAsiaTheme="minorEastAsia" w:hint="eastAsia"/>
          <w:lang w:val="en-AU" w:eastAsia="zh-CN"/>
        </w:rPr>
      </w:pPr>
    </w:p>
    <w:p w14:paraId="240D88BC" w14:textId="77777777" w:rsidR="004A1B0A" w:rsidRDefault="004A1B0A" w:rsidP="003E0D30">
      <w:pPr>
        <w:pStyle w:val="Abstract"/>
        <w:jc w:val="center"/>
      </w:pP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313122C1" w:rsidR="004A1B0A" w:rsidRPr="00ED161C" w:rsidRDefault="00ED161C" w:rsidP="003E0D30">
      <w:pPr>
        <w:pStyle w:val="Abstract"/>
        <w:jc w:val="center"/>
        <w:rPr>
          <w:rFonts w:eastAsiaTheme="minorEastAsia" w:hint="eastAsia"/>
          <w:lang w:eastAsia="zh-CN"/>
        </w:rPr>
      </w:pPr>
      <w:r w:rsidRPr="00ED161C">
        <w:t>C</w:t>
      </w:r>
      <w:r w:rsidRPr="00ED161C">
        <w:rPr>
          <w:vertAlign w:val="subscript"/>
        </w:rPr>
        <w:t>3+</w:t>
      </w:r>
      <w:r>
        <w:rPr>
          <w:rFonts w:eastAsiaTheme="minorEastAsia" w:hint="eastAsia"/>
          <w:lang w:eastAsia="zh-CN"/>
        </w:rPr>
        <w:t xml:space="preserve">, </w:t>
      </w:r>
      <w:r w:rsidRPr="00ED161C">
        <w:t>ECRR</w:t>
      </w:r>
      <w:r>
        <w:rPr>
          <w:rFonts w:eastAsiaTheme="minorEastAsia" w:hint="eastAsia"/>
          <w:lang w:eastAsia="zh-CN"/>
        </w:rPr>
        <w:t xml:space="preserve">, </w:t>
      </w:r>
      <w:r w:rsidRPr="00ED161C">
        <w:t xml:space="preserve">Electrocatalytic </w:t>
      </w:r>
      <w:r>
        <w:rPr>
          <w:rFonts w:eastAsiaTheme="minorEastAsia" w:hint="eastAsia"/>
          <w:lang w:eastAsia="zh-CN"/>
        </w:rPr>
        <w:t>e</w:t>
      </w:r>
      <w:r w:rsidRPr="00ED161C">
        <w:t>ngineering</w:t>
      </w:r>
      <w:r>
        <w:rPr>
          <w:rFonts w:eastAsiaTheme="minorEastAsia" w:hint="eastAsia"/>
          <w:lang w:eastAsia="zh-CN"/>
        </w:rPr>
        <w:t>, Mechanism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11A27F0E" w14:textId="64F28A92" w:rsidR="00FD7773" w:rsidRPr="00ED161C" w:rsidRDefault="00ED161C" w:rsidP="00ED161C">
      <w:pPr>
        <w:spacing w:before="100" w:beforeAutospacing="1" w:after="100" w:afterAutospacing="1"/>
        <w:ind w:left="720"/>
        <w:jc w:val="both"/>
      </w:pPr>
      <w:r w:rsidRPr="00ED161C">
        <w:t xml:space="preserve">My research </w:t>
      </w:r>
      <w:proofErr w:type="spellStart"/>
      <w:r w:rsidRPr="00ED161C">
        <w:t>centers</w:t>
      </w:r>
      <w:proofErr w:type="spellEnd"/>
      <w:r w:rsidRPr="00ED161C">
        <w:t xml:space="preserve"> on the computational design and discovery of efficient, low-cost catalysts for sustainable energy applications, using first-principles calculations and high-throughput screening techniques. I specialize in electrocatalysis, with complementary experience in photocatalysis, and focus on reactions central to the Water, Carbon, and Nitrogen cycles, </w:t>
      </w:r>
      <w:proofErr w:type="gramStart"/>
      <w:r w:rsidRPr="00ED161C">
        <w:t>including:</w:t>
      </w:r>
      <w:proofErr w:type="gramEnd"/>
      <w:r w:rsidRPr="00ED161C">
        <w:rPr>
          <w:rFonts w:hint="eastAsia"/>
        </w:rPr>
        <w:t xml:space="preserve"> </w:t>
      </w:r>
      <w:r w:rsidRPr="00ED161C">
        <w:t>Hydrogen Evolution (HER) and Hydrogen Oxidation (HOR)</w:t>
      </w:r>
      <w:r w:rsidRPr="00ED161C">
        <w:rPr>
          <w:rFonts w:hint="eastAsia"/>
        </w:rPr>
        <w:t xml:space="preserve">, </w:t>
      </w:r>
      <w:r w:rsidRPr="00ED161C">
        <w:t>Oxygen Evolution (OER) and Oxygen Reduction (ORR)</w:t>
      </w:r>
      <w:r w:rsidRPr="00ED161C">
        <w:rPr>
          <w:rFonts w:hint="eastAsia"/>
        </w:rPr>
        <w:t xml:space="preserve">, </w:t>
      </w:r>
      <w:r w:rsidRPr="00ED161C">
        <w:t>Carbon Dioxide Reduction (CO</w:t>
      </w:r>
      <w:r w:rsidRPr="00ED161C">
        <w:rPr>
          <w:rFonts w:hint="eastAsia"/>
          <w:vertAlign w:val="subscript"/>
          <w:lang w:eastAsia="zh-CN"/>
        </w:rPr>
        <w:t>2</w:t>
      </w:r>
      <w:r w:rsidRPr="00ED161C">
        <w:t>RR)</w:t>
      </w:r>
      <w:r w:rsidRPr="00ED161C">
        <w:rPr>
          <w:rFonts w:hint="eastAsia"/>
        </w:rPr>
        <w:t xml:space="preserve"> and </w:t>
      </w:r>
      <w:r w:rsidRPr="00ED161C">
        <w:t>Nitrogen Reduction (NRR)</w:t>
      </w:r>
    </w:p>
    <w:p w14:paraId="21F0EBF8" w14:textId="77777777" w:rsidR="00FD7773" w:rsidRDefault="00FD7773" w:rsidP="00FD777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13C259C5" w14:textId="6B0658FA" w:rsidR="002D6FF0" w:rsidRDefault="00400234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2D6FF0">
        <w:t xml:space="preserve"> </w:t>
      </w:r>
      <w:proofErr w:type="spellStart"/>
      <w:r w:rsidR="002D6FF0">
        <w:t>Chemeca</w:t>
      </w:r>
      <w:proofErr w:type="spellEnd"/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0043" w14:textId="77777777" w:rsidR="00ED161C" w:rsidRDefault="00ED161C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5AAF" w14:textId="77777777" w:rsidR="00ED161C" w:rsidRDefault="00ED161C">
    <w:pPr>
      <w:pStyle w:val="Footer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CD1F" w14:textId="77777777" w:rsidR="00ED161C" w:rsidRDefault="00ED161C">
    <w:pPr>
      <w:pStyle w:val="Footer"/>
      <w:spacing w:after="1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E6B" w14:textId="77777777" w:rsidR="00ED161C" w:rsidRDefault="00ED161C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D431" w14:textId="77777777" w:rsidR="00ED161C" w:rsidRDefault="00ED161C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26F4" w14:textId="77777777" w:rsidR="00ED161C" w:rsidRDefault="00ED161C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05C9"/>
    <w:multiLevelType w:val="multilevel"/>
    <w:tmpl w:val="253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8726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 Jiao">
    <w15:presenceInfo w15:providerId="AD" w15:userId="S::a1637398@adelaide.edu.au::cfef2902-b830-4b13-8aa9-9d034c5b8e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97F1C"/>
    <w:rsid w:val="000D3074"/>
    <w:rsid w:val="000F36F0"/>
    <w:rsid w:val="00140D38"/>
    <w:rsid w:val="001679D1"/>
    <w:rsid w:val="00197D38"/>
    <w:rsid w:val="00200D64"/>
    <w:rsid w:val="00251FF4"/>
    <w:rsid w:val="00255A48"/>
    <w:rsid w:val="00263713"/>
    <w:rsid w:val="002D01E0"/>
    <w:rsid w:val="002D6FF0"/>
    <w:rsid w:val="002E26F7"/>
    <w:rsid w:val="003266E4"/>
    <w:rsid w:val="003414A0"/>
    <w:rsid w:val="003E0D30"/>
    <w:rsid w:val="003E4CE2"/>
    <w:rsid w:val="00400234"/>
    <w:rsid w:val="0040294E"/>
    <w:rsid w:val="0046278E"/>
    <w:rsid w:val="00477822"/>
    <w:rsid w:val="00480D86"/>
    <w:rsid w:val="00487F31"/>
    <w:rsid w:val="004A1B0A"/>
    <w:rsid w:val="004A7E12"/>
    <w:rsid w:val="005236D2"/>
    <w:rsid w:val="0052720A"/>
    <w:rsid w:val="005C4444"/>
    <w:rsid w:val="005E6845"/>
    <w:rsid w:val="006206F8"/>
    <w:rsid w:val="006501A0"/>
    <w:rsid w:val="006B3B47"/>
    <w:rsid w:val="007B3CE5"/>
    <w:rsid w:val="00833D48"/>
    <w:rsid w:val="008669F8"/>
    <w:rsid w:val="0089117F"/>
    <w:rsid w:val="008914E6"/>
    <w:rsid w:val="008937A9"/>
    <w:rsid w:val="00903BF3"/>
    <w:rsid w:val="00944B3B"/>
    <w:rsid w:val="009510E2"/>
    <w:rsid w:val="00961132"/>
    <w:rsid w:val="009923D9"/>
    <w:rsid w:val="009D2A08"/>
    <w:rsid w:val="00A40D77"/>
    <w:rsid w:val="00A54A2F"/>
    <w:rsid w:val="00A56CF9"/>
    <w:rsid w:val="00A77E78"/>
    <w:rsid w:val="00AB662E"/>
    <w:rsid w:val="00AF4E0A"/>
    <w:rsid w:val="00B01724"/>
    <w:rsid w:val="00B45BAC"/>
    <w:rsid w:val="00B72F50"/>
    <w:rsid w:val="00B968B4"/>
    <w:rsid w:val="00C54F32"/>
    <w:rsid w:val="00C75833"/>
    <w:rsid w:val="00CC6236"/>
    <w:rsid w:val="00CE2E70"/>
    <w:rsid w:val="00D21353"/>
    <w:rsid w:val="00D41CD3"/>
    <w:rsid w:val="00D87E11"/>
    <w:rsid w:val="00DE69F4"/>
    <w:rsid w:val="00E31BE1"/>
    <w:rsid w:val="00E6102C"/>
    <w:rsid w:val="00EB05CE"/>
    <w:rsid w:val="00EC23DD"/>
    <w:rsid w:val="00ED161C"/>
    <w:rsid w:val="00EE0B4A"/>
    <w:rsid w:val="00EE2079"/>
    <w:rsid w:val="00EF47B4"/>
    <w:rsid w:val="00F16A97"/>
    <w:rsid w:val="00F5493E"/>
    <w:rsid w:val="00FD0B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61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ED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161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161C"/>
    <w:pPr>
      <w:tabs>
        <w:tab w:val="center" w:pos="4513"/>
        <w:tab w:val="right" w:pos="9026"/>
      </w:tabs>
      <w:snapToGrid w:val="0"/>
      <w:spacing w:afterLines="50" w:after="50"/>
      <w:ind w:firstLine="357"/>
      <w:jc w:val="both"/>
    </w:pPr>
    <w:rPr>
      <w:rFonts w:eastAsia="Malgun Gothic"/>
      <w:lang w:val="en-GB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D161C"/>
    <w:rPr>
      <w:rFonts w:eastAsia="Malgun Gothic"/>
      <w:sz w:val="22"/>
      <w:szCs w:val="22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61C"/>
    <w:rPr>
      <w:rFonts w:asciiTheme="majorHAnsi" w:eastAsiaTheme="majorEastAsia" w:hAnsiTheme="majorHAnsi" w:cstheme="majorBidi"/>
      <w:b/>
      <w:bCs/>
      <w:sz w:val="28"/>
      <w:szCs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Ling Chen</cp:lastModifiedBy>
  <cp:revision>4</cp:revision>
  <cp:lastPrinted>2021-03-09T09:58:00Z</cp:lastPrinted>
  <dcterms:created xsi:type="dcterms:W3CDTF">2025-01-23T22:37:00Z</dcterms:created>
  <dcterms:modified xsi:type="dcterms:W3CDTF">2025-04-04T03:04:00Z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